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Защитника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на действия председательствующего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  <w:jc w:val="left"/>
      </w:pPr>
      <w:r>
        <w:rPr>
          <w:rFonts w:ascii="Arial" w:cs="Times New Roman" w:eastAsia="Times New Roman" w:hAnsi="Arial"/>
          <w:b w:val="false"/>
          <w:bCs w:val="false"/>
          <w:color w:val="000000"/>
          <w:sz w:val="20"/>
          <w:szCs w:val="20"/>
          <w:lang w:val="en-US"/>
        </w:rPr>
        <w:t xml:space="preserve"> </w:t>
      </w:r>
      <w:r>
        <w:rPr>
          <w:rFonts w:ascii="Arial" w:cs="Times New Roman CYR" w:eastAsia="Times New Roman CYR" w:hAnsi="Arial"/>
          <w:b w:val="false"/>
          <w:bCs w:val="false"/>
          <w:color w:val="000000"/>
          <w:sz w:val="20"/>
          <w:szCs w:val="20"/>
          <w:lang w:val="ru-RU"/>
        </w:rPr>
        <w:t xml:space="preserve">На судебном заседании 6 мая 2014г. судьёй Ананич В.А.  было принято решение об оглашении показаний потерпевшего Погибы Ю.В. и свидетелей Погибы Т.В., Домрина М.В., Коляды Е.И., Костюченко А.А.,данных ими в ходе предварительного следствия. </w:t>
      </w:r>
    </w:p>
    <w:p>
      <w:pPr>
        <w:pStyle w:val="style0"/>
        <w:jc w:val="left"/>
      </w:pPr>
      <w:r>
        <w:rPr>
          <w:rFonts w:ascii="Arial" w:cs="Times New Roman CYR" w:eastAsia="Times New Roman CYR" w:hAnsi="Arial"/>
          <w:b w:val="false"/>
          <w:bCs w:val="false"/>
          <w:color w:val="000000"/>
          <w:sz w:val="20"/>
          <w:szCs w:val="20"/>
          <w:lang w:val="ru-RU"/>
        </w:rPr>
        <w:t xml:space="preserve">Основанием для оглашения показаний явилось то, что потерпевший и свидетели Погиба Т.В., Домрин М.В., Коляда Е.И. находятся в длительной командировке во Франции, а свидетель Костюченко А.А.   при, якобы, неоднократном надлежащем извещении и неоднократных, якобы, объявлениях ему привода, продолжает уклоняться от явки в суд, в связи с чем допросить их в ходе судебного следствия не представляется возможным. </w:t>
      </w:r>
    </w:p>
    <w:p>
      <w:pPr>
        <w:pStyle w:val="style0"/>
        <w:jc w:val="left"/>
      </w:pPr>
      <w:r>
        <w:rPr>
          <w:rFonts w:ascii="Arial" w:cs="Times New Roman CYR" w:eastAsia="Times New Roman CYR" w:hAnsi="Arial"/>
          <w:b w:val="false"/>
          <w:bCs w:val="false"/>
          <w:color w:val="000000"/>
          <w:sz w:val="20"/>
          <w:szCs w:val="20"/>
          <w:lang w:val="ru-RU"/>
        </w:rPr>
        <w:t>По поводу данного решения суда с моей стороны и со стороны адвоката Ускова Э.А. и защитника Петренко Н.М.  были заявлены категорические возражения, поскольку имеются основания полагать, что показания потерпевших и свидетелей  являются ложными, а уклонение от явки не является основанием для оглашения показаний.</w:t>
      </w:r>
    </w:p>
    <w:p>
      <w:pPr>
        <w:pStyle w:val="style0"/>
        <w:jc w:val="left"/>
      </w:pPr>
      <w:r>
        <w:rPr>
          <w:rFonts w:ascii="Arial" w:cs="Times New Roman CYR" w:eastAsia="Times New Roman CYR" w:hAnsi="Arial"/>
          <w:b w:val="false"/>
          <w:bCs w:val="false"/>
          <w:color w:val="000000"/>
          <w:sz w:val="20"/>
          <w:szCs w:val="20"/>
          <w:lang w:val="ru-RU"/>
        </w:rPr>
        <w:t xml:space="preserve"> </w:t>
      </w:r>
      <w:r>
        <w:rPr>
          <w:rFonts w:ascii="Arial" w:cs="Times New Roman CYR" w:eastAsia="Times New Roman CYR" w:hAnsi="Arial"/>
          <w:b w:val="false"/>
          <w:bCs w:val="false"/>
          <w:color w:val="000000"/>
          <w:sz w:val="20"/>
          <w:szCs w:val="20"/>
          <w:lang w:val="ru-RU"/>
        </w:rPr>
        <w:t>Однако возражения не были приняты судом во внимание, и вместо принятия мер по обеспечению явки и привлечению к ответственности потерпевших и свидетелей  за уклонение от явки в суд, судьёй было принято решение об оглашении показаний потерпевшего, данных им в ходе предварительного следствия.</w:t>
        <w:br/>
        <w:t>В то же время согласно ч.1 ст.281 УПК РФ</w:t>
      </w:r>
      <w:r>
        <w:rPr>
          <w:rFonts w:ascii="Arial" w:cs="Times New Roman" w:eastAsia="Times New Roman" w:hAnsi="Arial"/>
          <w:b w:val="false"/>
          <w:bCs w:val="false"/>
          <w:color w:val="000000"/>
          <w:sz w:val="20"/>
          <w:szCs w:val="20"/>
          <w:lang w:val="en-US"/>
        </w:rPr>
        <w:t> </w:t>
        <w:br/>
      </w:r>
      <w:r>
        <w:rPr>
          <w:rFonts w:ascii="Arial" w:cs="Times New Roman" w:eastAsia="Times New Roman" w:hAnsi="Arial"/>
          <w:b w:val="false"/>
          <w:bCs w:val="false"/>
          <w:i/>
          <w:iCs/>
          <w:color w:val="000000"/>
          <w:sz w:val="20"/>
          <w:szCs w:val="20"/>
          <w:lang w:val="en-US"/>
        </w:rPr>
        <w:t>«</w:t>
      </w:r>
      <w:r>
        <w:rPr>
          <w:rFonts w:ascii="Arial" w:cs="Times New Roman CYR" w:eastAsia="Times New Roman CYR" w:hAnsi="Arial"/>
          <w:b w:val="false"/>
          <w:bCs w:val="false"/>
          <w:i/>
          <w:iCs/>
          <w:color w:val="000000"/>
          <w:sz w:val="20"/>
          <w:szCs w:val="20"/>
          <w:lang w:val="ru-RU"/>
        </w:rPr>
        <w:t>Оглашение показаний потерпевшего и свидетеля, ранее данных при производстве предварительного расследования или судебного разбирательства… …допускаются</w:t>
      </w:r>
      <w:r>
        <w:rPr>
          <w:rFonts w:ascii="Arial" w:cs="Times New Roman" w:eastAsia="Times New Roman" w:hAnsi="Arial"/>
          <w:b w:val="false"/>
          <w:bCs w:val="false"/>
          <w:i/>
          <w:iCs/>
          <w:color w:val="000000"/>
          <w:sz w:val="20"/>
          <w:szCs w:val="20"/>
          <w:lang w:val="en-US"/>
        </w:rPr>
        <w:t> </w:t>
      </w:r>
      <w:r>
        <w:rPr>
          <w:rFonts w:ascii="Arial" w:cs="Times New Roman CYR" w:eastAsia="Times New Roman CYR" w:hAnsi="Arial"/>
          <w:b w:val="false"/>
          <w:bCs w:val="false"/>
          <w:i/>
          <w:iCs/>
          <w:color w:val="000000"/>
          <w:sz w:val="20"/>
          <w:szCs w:val="20"/>
          <w:u w:val="single"/>
          <w:lang w:val="ru-RU"/>
        </w:rPr>
        <w:t>с согласия сторон</w:t>
      </w:r>
      <w:r>
        <w:rPr>
          <w:rFonts w:ascii="Arial" w:cs="Times New Roman" w:eastAsia="Times New Roman" w:hAnsi="Arial"/>
          <w:b w:val="false"/>
          <w:bCs w:val="false"/>
          <w:i/>
          <w:iCs/>
          <w:color w:val="000000"/>
          <w:sz w:val="20"/>
          <w:szCs w:val="20"/>
          <w:u w:val="none"/>
          <w:lang w:val="en-US"/>
        </w:rPr>
        <w:t> </w:t>
      </w:r>
      <w:r>
        <w:rPr>
          <w:rFonts w:ascii="Arial" w:cs="Times New Roman CYR" w:eastAsia="Times New Roman CYR" w:hAnsi="Arial"/>
          <w:b w:val="false"/>
          <w:bCs w:val="false"/>
          <w:i/>
          <w:iCs/>
          <w:color w:val="000000"/>
          <w:sz w:val="20"/>
          <w:szCs w:val="20"/>
          <w:u w:val="none"/>
          <w:lang w:val="ru-RU"/>
        </w:rPr>
        <w:t>в случае неявки потерпевшего или свидетеля, за исключением случаев, предусмотренных частью второй настоящей статьи</w:t>
      </w:r>
      <w:r>
        <w:rPr>
          <w:rFonts w:ascii="Arial" w:cs="Times New Roman" w:eastAsia="Times New Roman" w:hAnsi="Arial"/>
          <w:b w:val="false"/>
          <w:bCs w:val="false"/>
          <w:i/>
          <w:iCs/>
          <w:color w:val="000000"/>
          <w:sz w:val="20"/>
          <w:szCs w:val="20"/>
          <w:u w:val="none"/>
          <w:lang w:val="en-US"/>
        </w:rPr>
        <w:t>».</w:t>
      </w:r>
      <w:r>
        <w:rPr>
          <w:rFonts w:ascii="Arial" w:cs="Times New Roman" w:eastAsia="Times New Roman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en-US"/>
        </w:rPr>
        <w:t> </w:t>
        <w:br/>
      </w:r>
      <w:r>
        <w:rPr>
          <w:rFonts w:ascii="Arial" w:cs="Times New Roman CYR" w:eastAsia="Times New Roman CYR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ru-RU"/>
        </w:rPr>
        <w:t xml:space="preserve">Так же очевиден тот факт, что </w:t>
      </w:r>
      <w:r>
        <w:rPr>
          <w:rFonts w:ascii="Arial" w:cs="Times New Roman CYR" w:eastAsia="Times New Roman CYR" w:hAnsi="Arial"/>
          <w:b/>
          <w:bCs/>
          <w:i w:val="false"/>
          <w:iCs w:val="false"/>
          <w:color w:val="000000"/>
          <w:sz w:val="20"/>
          <w:szCs w:val="20"/>
          <w:u w:val="none"/>
          <w:lang w:val="ru-RU"/>
        </w:rPr>
        <w:t>уклонение от явки в суд не является основанием для оглашения показаний, предусмотренным ч.2 ст.281 УПК РФ</w:t>
      </w:r>
      <w:r>
        <w:rPr>
          <w:rFonts w:ascii="Arial" w:cs="Times New Roman CYR" w:eastAsia="Times New Roman CYR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ru-RU"/>
        </w:rPr>
        <w:t>.</w:t>
        <w:br/>
      </w:r>
      <w:r>
        <w:rPr>
          <w:rFonts w:ascii="Arial" w:cs="Times New Roman" w:eastAsia="Times New Roman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en-US"/>
        </w:rPr>
        <w:t xml:space="preserve"> </w:t>
      </w:r>
      <w:r>
        <w:rPr>
          <w:rFonts w:ascii="Arial" w:cs="Times New Roman" w:eastAsia="Times New Roman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en-US"/>
        </w:rPr>
        <w:t xml:space="preserve">Оглашение показаний, данных при производстве предварительного расследования, </w:t>
      </w:r>
      <w:r>
        <w:rPr>
          <w:rFonts w:ascii="Arial" w:cs="Times New Roman" w:eastAsia="Times New Roman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en-US"/>
        </w:rPr>
        <w:t>рассматривается как исключение</w:t>
      </w:r>
      <w:r>
        <w:rPr>
          <w:rFonts w:ascii="Arial" w:cs="Times New Roman" w:eastAsia="Times New Roman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en-US"/>
        </w:rPr>
        <w:t xml:space="preserve"> и допускается лишь в случаях, предусмотренных законом (часть вторая статьи 240, статьи 276 и 281 УПК Российской Федерации)</w:t>
      </w:r>
      <w:r>
        <w:rPr>
          <w:rFonts w:ascii="Arial" w:cs="Times New Roman CYR" w:eastAsia="Times New Roman CYR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ru-RU"/>
        </w:rPr>
        <w:br/>
      </w:r>
      <w:r>
        <w:rPr>
          <w:rFonts w:ascii="Arial" w:cs="Times New Roman CYR" w:eastAsia="Times New Roman CYR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При этом </w:t>
      </w:r>
      <w:r>
        <w:rPr>
          <w:rFonts w:ascii="Arial" w:cs="Times New Roman CYR" w:eastAsia="Times New Roman CYR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>статья 281 УПК Российской Федерации не предусматривает возможности расширительного толкования перечня случаев, когда допускается оглашение в суде показаний, ранее данных потерпевшими и свидетелями, отсутствующими в судебном заседании.</w:t>
      </w:r>
      <w:r>
        <w:rPr>
          <w:rFonts w:ascii="Arial" w:cs="Times New Roman CYR" w:eastAsia="Times New Roman CYR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u w:val="none"/>
          <w:lang w:val="ru-RU"/>
        </w:rPr>
        <w:t xml:space="preserve"> </w:t>
      </w:r>
    </w:p>
    <w:p>
      <w:pPr>
        <w:pStyle w:val="style0"/>
      </w:pPr>
      <w:r>
        <w:rPr>
          <w:rFonts w:ascii="Arial" w:hAnsi="Arial"/>
          <w:sz w:val="20"/>
          <w:szCs w:val="20"/>
        </w:rPr>
        <w:t>Нахождение в командировке не является тем самым чрезвычайным случаем, о котором говорится в ст.281.Считаю, что в данном случае председательствующий  просто пошла на поводу у государственного обвинителя.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ПРОШУ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2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Изучеева А.И.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12 мая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Третий случай оглашения показаний свидетеля, к сожалению, также не лишён проблем в правоприменительной практике. Основное нарушение, которое допускают суды в этом случае, это оглашение показаний свидетеля, данных им на следствии при отсутствии существенных противоречий между предыдущими показаниями свидетеля и показаниями, данными им в суде. Закон для оглашения показаний в этом случае требует наличия именно существенных противоречий. Понятие «существенные противоречия» также является сугубо оценочным, и только судья в конечно итоге решает, есть ли существенные противоречия в показаниях или их нет. Хотя, адвокату ничто не мешает подать возражение на это и не согласится с мнением судьи и решением судьи на оглашение таких показаний. Законодательно нельзя определить какие противоречия являются существенными, а какие нет. Все показания индивидуальны. Однако в суде часто можно услышать от свидетеля, что он не помнит те или иные обстоятельства по делу, например, говорит, что не помнит имя человека или не помнит дату произошедшего. В этом случае очень часто обвинитель ходатайствует об оглашении ранее данных показаний в связи с наличием существенных противоречий и суд, как правило, удовлетворяет такое ходатайство. Это незаконно. Совершенно очевидно, что оглашение показаний незаконно в том случае если свидетель что-то не вспомнил или забыл показать в судебном заседании. Никакого противоречия в показаниях тут нет и быть не может. Если он что то не сказал, суд вправе задать ему дополнительные вопросы, но не оглашать при этом предыдущие показания. Однако суды часто считают данные случаи противоречием в показаниях, принимают решение огласить показания свидетеля и тем самыми «напомнить» свидетелю, что он показывал ранее. Такое оглашение показаний, являющееся фактически не средством устранения противоречий, а «напоминанием» показаний, на мой взгляд, является грубым нарушением уголовно-процессуального закона - ч.3 ст.281 УПК РФ. Существенным противоречием следует признать случай когда, например, на следствии свидетель заявлял, что Петров нанес удар ножом Иванову, а в суде этот же свидетель показал, что Петров не наносил удар ножом Иванову. Вот этот случай действительно будет существенным противоречием в показаниях и предыдущие показания без сомнения должны быть оглашены в соответствии с ч.3 ст.281 УПК РФ. </w:t>
      </w:r>
    </w:p>
    <w:p>
      <w:pPr>
        <w:pStyle w:val="style0"/>
      </w:pPr>
      <w:r>
        <w:rPr>
          <w:rFonts w:ascii="Arial" w:hAnsi="Arial"/>
          <w:sz w:val="20"/>
          <w:szCs w:val="20"/>
        </w:rPr>
        <w:t>25 апреля  2014г. свидетель  Козлов Денис Олегович, давая устные показания, а точнее - зачитывая заранее заготовленный текст, был уличен адвокатом Вуколовой М.В. в «плагиате»:текст его  «заметок», разрешенных УПК, совпадал вплоть до запятых, с текстом его протокола допроса, который следователь Уразова С.А. скопировала в обвинительное заключение.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Поскольку ни он, ни его отец -Козлов Олег Иванович с материалами дела не знакомились, на руках у них обвинительного заключения нет, это означает, что-либо следователь предоставила  семье Козловых флешку с обвинительным заключением/материалами уголовного дела, либо это сделало государственное обвинение.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 отношении  отца свидетеля - потерпевшего Козлова Олега Ивановича, ранее я также сделала заявление после «зачитывания» им своего протокола допроса под видом «заметок», что его показания написаны не им, а в ГСУ и что я это докажу впоследствии. Справедливости ради, протоколы допроса Козлова О.И. были им «разбавлены» своими «философическими опусами».</w:t>
      </w:r>
    </w:p>
    <w:p>
      <w:pPr>
        <w:pStyle w:val="style0"/>
      </w:pPr>
      <w:r>
        <w:rPr>
          <w:rFonts w:ascii="Arial" w:hAnsi="Arial"/>
          <w:sz w:val="20"/>
          <w:szCs w:val="20"/>
        </w:rPr>
        <w:t>Допрос потерпевших и свидетелей в судебном заседании является не только способом получения доказательств по уголовному делу, но и средством проверки их достоверности.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Если потерпевшему и свидетелям предоставляется возможность всего лишь зачитать свой протокол допроса, то никакой проверки достоверности ранее данных ими показаний  нет.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Считаю, что проверку достоверности показания, данные Козловым Д.О. и Козловым О.И. на предварительном следствии ( в части «письменных заметок») не проходили.</w:t>
      </w:r>
    </w:p>
    <w:p>
      <w:pPr>
        <w:pStyle w:val="style0"/>
      </w:pPr>
      <w:r>
        <w:rPr>
          <w:rFonts w:ascii="Arial" w:hAnsi="Arial"/>
          <w:sz w:val="20"/>
          <w:szCs w:val="20"/>
        </w:rPr>
        <w:t>Вместо устных показаний мы имеем дело с завуалированным оглашением показаний, данных на предварительном следствии,  которые допускаются законом только в исключительных случаях.</w:t>
      </w:r>
    </w:p>
    <w:p>
      <w:pPr>
        <w:pStyle w:val="style0"/>
      </w:pPr>
      <w:r>
        <w:rPr>
          <w:rFonts w:ascii="Arial" w:hAnsi="Arial"/>
          <w:sz w:val="20"/>
          <w:szCs w:val="20"/>
        </w:rPr>
        <w:t>Суд оставил без внимания и мои сомнения в самостоятельном написании Козловым О.И. «заметок/протокола допроса»,  и  факт уличения Козлова Д.О. «списывания» показаний с протокола допроса.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2" w:type="paragraph">
    <w:name w:val="Заголовок 2"/>
    <w:basedOn w:val="style19"/>
    <w:next w:val="style20"/>
    <w:pPr>
      <w:numPr>
        <w:ilvl w:val="1"/>
        <w:numId w:val="1"/>
      </w:numPr>
      <w:outlineLvl w:val="1"/>
    </w:pPr>
    <w:rPr>
      <w:rFonts w:ascii="Times New Roman" w:cs="Mangal" w:eastAsia="SimSun" w:hAnsi="Times New Roman"/>
      <w:b/>
      <w:bCs/>
      <w:i/>
      <w:iCs/>
      <w:sz w:val="36"/>
      <w:szCs w:val="36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ListLabel 2"/>
    <w:next w:val="style16"/>
    <w:rPr>
      <w:rFonts w:cs="Symbol"/>
    </w:rPr>
  </w:style>
  <w:style w:styleId="style17" w:type="character">
    <w:name w:val="ListLabel 3"/>
    <w:next w:val="style17"/>
    <w:rPr>
      <w:rFonts w:cs="Symbol"/>
    </w:rPr>
  </w:style>
  <w:style w:styleId="style18" w:type="character">
    <w:name w:val="ListLabel 4"/>
    <w:next w:val="style18"/>
    <w:rPr>
      <w:rFonts w:cs="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2014-05-12T02:02:24.30Z</cp:lastPrinted>
  <cp:revision>0</cp:revision>
</cp:coreProperties>
</file>