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right"/>
      </w:pPr>
      <w:r>
        <w:rPr>
          <w:rFonts w:ascii="Arial" w:hAnsi="Arial"/>
          <w:sz w:val="20"/>
          <w:szCs w:val="20"/>
        </w:rPr>
        <w:t xml:space="preserve">Судье </w:t>
      </w:r>
    </w:p>
    <w:p>
      <w:pPr>
        <w:pStyle w:val="style0"/>
        <w:jc w:val="right"/>
      </w:pPr>
      <w:r>
        <w:rPr>
          <w:rFonts w:ascii="Arial" w:hAnsi="Arial"/>
          <w:sz w:val="20"/>
          <w:szCs w:val="20"/>
        </w:rPr>
        <w:t>Кущевского районного суда</w:t>
      </w:r>
    </w:p>
    <w:p>
      <w:pPr>
        <w:pStyle w:val="style0"/>
        <w:jc w:val="right"/>
      </w:pPr>
      <w:r>
        <w:rPr>
          <w:rFonts w:ascii="Arial" w:hAnsi="Arial"/>
          <w:sz w:val="20"/>
          <w:szCs w:val="20"/>
        </w:rPr>
        <w:t>Ананич В.А.</w:t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>
          <w:rFonts w:ascii="Arial" w:hAnsi="Arial"/>
          <w:sz w:val="20"/>
          <w:szCs w:val="20"/>
        </w:rPr>
        <w:t>Защитника подсудимого</w:t>
      </w:r>
    </w:p>
    <w:p>
      <w:pPr>
        <w:pStyle w:val="style0"/>
        <w:jc w:val="right"/>
      </w:pPr>
      <w:r>
        <w:rPr>
          <w:rFonts w:ascii="Arial" w:hAnsi="Arial"/>
          <w:sz w:val="20"/>
          <w:szCs w:val="20"/>
        </w:rPr>
        <w:t>Толмачева А.М. -</w:t>
      </w:r>
    </w:p>
    <w:p>
      <w:pPr>
        <w:pStyle w:val="style0"/>
        <w:jc w:val="right"/>
      </w:pPr>
      <w:r>
        <w:rPr>
          <w:rFonts w:ascii="Arial" w:hAnsi="Arial"/>
          <w:sz w:val="20"/>
          <w:szCs w:val="20"/>
        </w:rPr>
        <w:t>Изучеевой А.И.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jc w:val="center"/>
      </w:pPr>
      <w:r>
        <w:rPr>
          <w:rFonts w:ascii="Arial" w:hAnsi="Arial"/>
          <w:sz w:val="20"/>
          <w:szCs w:val="20"/>
        </w:rPr>
        <w:t>ВОЗРАЖЕНИЯ</w:t>
      </w:r>
    </w:p>
    <w:p>
      <w:pPr>
        <w:pStyle w:val="style0"/>
        <w:ind w:hanging="0" w:left="505" w:right="0"/>
        <w:jc w:val="right"/>
      </w:pPr>
      <w:r>
        <w:rPr/>
      </w:r>
    </w:p>
    <w:p>
      <w:pPr>
        <w:pStyle w:val="style0"/>
      </w:pPr>
      <w:r>
        <w:rPr>
          <w:rFonts w:ascii="Arial" w:hAnsi="Arial"/>
          <w:sz w:val="20"/>
          <w:szCs w:val="20"/>
        </w:rPr>
        <w:t xml:space="preserve">В Вашем производстве находится уголовное дело по обвинению Толмачева А.М, Галагана Ю.В., Морозовой Е.Ю.  в совершении преступлений, предусмотренных  п.»б» ч.3 ст. 163 УК РФ. </w:t>
      </w:r>
    </w:p>
    <w:p>
      <w:pPr>
        <w:pStyle w:val="style0"/>
      </w:pPr>
      <w:r>
        <w:rPr>
          <w:rFonts w:ascii="Arial" w:hAnsi="Arial"/>
          <w:sz w:val="20"/>
          <w:szCs w:val="20"/>
        </w:rPr>
        <w:t>В октябре 2013г. подсудимый Толмачев А.М. заявил несколько ходатайств об истребовании от фирм-провайдеров детализацию телефонных звонков с привязкой к базовым станциям, сделанными потерпевшими и свидетелями.</w:t>
      </w:r>
    </w:p>
    <w:p>
      <w:pPr>
        <w:pStyle w:val="style0"/>
      </w:pPr>
      <w:r>
        <w:rPr>
          <w:rFonts w:ascii="Arial" w:hAnsi="Arial"/>
          <w:sz w:val="20"/>
          <w:szCs w:val="20"/>
        </w:rPr>
        <w:t>Необходимость в получении данной информации была вызвана тем, что следователь Уразова С.А.  отказывала в удовлетворении данных  ходатайств на стадии предварительного следствия  и в материалах дела имеются только биллинг подсудимых. Он используется стороной обвинения:»Согласно биллингу, подсудимый в это или  в это время находился там, где он встречался с потерпевшими и свидетелями».</w:t>
      </w:r>
    </w:p>
    <w:p>
      <w:pPr>
        <w:pStyle w:val="style0"/>
      </w:pPr>
      <w:r>
        <w:rPr>
          <w:rFonts w:ascii="Arial" w:hAnsi="Arial"/>
          <w:sz w:val="20"/>
          <w:szCs w:val="20"/>
        </w:rPr>
        <w:t>Однако, где были сами потерпевшие и свидетели в это время, «биллинг умалчивает».</w:t>
      </w:r>
    </w:p>
    <w:p>
      <w:pPr>
        <w:pStyle w:val="style0"/>
      </w:pPr>
      <w:r>
        <w:rPr>
          <w:rFonts w:ascii="Arial" w:hAnsi="Arial"/>
          <w:sz w:val="20"/>
          <w:szCs w:val="20"/>
        </w:rPr>
        <w:t>Судья Ананич В.А. удовлетворила данные ходатайства, однако защитники Толмачева А.М. длительное время не были ознакомлены с ответами из фирм-провайдеров. Судья Ананич В.А. утверждала, что она в своих постановлениях указывала дату- »..предоставить информацию до 15 декабря».</w:t>
      </w:r>
    </w:p>
    <w:p>
      <w:pPr>
        <w:pStyle w:val="style0"/>
      </w:pPr>
      <w:r>
        <w:rPr>
          <w:rFonts w:ascii="Arial" w:hAnsi="Arial"/>
          <w:sz w:val="20"/>
          <w:szCs w:val="20"/>
        </w:rPr>
        <w:t>Дескать, это фирмы-провайдеры виноваты, не предоставляют  запрашиваемую информацию.</w:t>
      </w:r>
    </w:p>
    <w:p>
      <w:pPr>
        <w:pStyle w:val="style0"/>
      </w:pPr>
      <w:r>
        <w:rPr>
          <w:rFonts w:ascii="Arial" w:hAnsi="Arial"/>
          <w:sz w:val="20"/>
          <w:szCs w:val="20"/>
        </w:rPr>
        <w:t>И только в марте 2014г., когда я  посетила все фирмы-провайдеры, чтобы узнать, почему они не исполняют постановление суда, выяснилась «картина маслом», которую «нарисовала» судья Ананич В.А.</w:t>
      </w:r>
    </w:p>
    <w:p>
      <w:pPr>
        <w:pStyle w:val="style0"/>
      </w:pPr>
      <w:r>
        <w:rPr>
          <w:rFonts w:ascii="Arial" w:hAnsi="Arial"/>
          <w:sz w:val="20"/>
          <w:szCs w:val="20"/>
        </w:rPr>
        <w:t>Оказывается, она ни  в октябре, ни в ноябре, ни в декабре прошлого года не высылала запросы. Сделала она это только в конце января-начале февраля, выслав, якобы, повторные запросы.</w:t>
      </w:r>
    </w:p>
    <w:p>
      <w:pPr>
        <w:pStyle w:val="style0"/>
      </w:pP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Естественно, ответы фирмы-провайдеры выслали в адрес Кущевского райсуда только в конце февраля-начале марта.</w:t>
      </w:r>
    </w:p>
    <w:p>
      <w:pPr>
        <w:pStyle w:val="style0"/>
      </w:pPr>
      <w:r>
        <w:rPr>
          <w:rFonts w:ascii="Arial" w:hAnsi="Arial"/>
          <w:sz w:val="20"/>
          <w:szCs w:val="20"/>
        </w:rPr>
        <w:t>Судья Ананич В.А. умышленно не высылала запросы о предоставлении информации, очевидно, как Ходжа Насреддин, надеясь: «Или ишак сдохнет или эмир умрет!»</w:t>
      </w:r>
    </w:p>
    <w:p>
      <w:pPr>
        <w:pStyle w:val="style0"/>
      </w:pPr>
      <w:r>
        <w:rPr>
          <w:rFonts w:ascii="Arial" w:hAnsi="Arial"/>
          <w:sz w:val="20"/>
          <w:szCs w:val="20"/>
        </w:rPr>
        <w:t>А чтобы скрыть свою умышленную волокиту, внесла в материалы уголовного дела недостоверную информацию: в материалах дела имеются ее постановления и сопроводительные письма, якобы, высланные ею в адрес провайдеров осенью 2013г., чего сделано не было. В сопроводительных письмах с датой от 2014г. стоит отметка «повторно», что не соответствует действительности, так как запросы были высланы впервые только весной 2014г.</w:t>
      </w:r>
    </w:p>
    <w:p>
      <w:pPr>
        <w:pStyle w:val="style0"/>
      </w:pPr>
      <w:r>
        <w:rPr>
          <w:rFonts w:ascii="Arial" w:hAnsi="Arial"/>
          <w:sz w:val="20"/>
          <w:szCs w:val="20"/>
        </w:rPr>
        <w:t xml:space="preserve">Более того, если хотя бы от одного провайдера поступил ответ, что они не могут предоставить запрашиваемую информацию по причине истечения срока хранения детализации телефонных соединений, это и было истинной причиной волокиты с истребованием запрашиваемой подсудимым Толмачевым А.М. информации от фирм-провайдеров. </w:t>
      </w:r>
    </w:p>
    <w:p>
      <w:pPr>
        <w:pStyle w:val="style0"/>
      </w:pPr>
      <w:r>
        <w:rPr>
          <w:rFonts w:ascii="Arial" w:hAnsi="Arial"/>
          <w:sz w:val="20"/>
          <w:szCs w:val="20"/>
        </w:rPr>
        <w:t>Более того,  даже с этими ответами, которые пришли в феврале-марте, мы не можем ознакомиться.</w:t>
      </w:r>
    </w:p>
    <w:p>
      <w:pPr>
        <w:pStyle w:val="style0"/>
      </w:pPr>
      <w:r>
        <w:rPr>
          <w:rFonts w:ascii="Arial" w:hAnsi="Arial"/>
          <w:sz w:val="20"/>
          <w:szCs w:val="20"/>
        </w:rPr>
        <w:t>Дело в том, что судья Ананич В.А. умышленно не подшивает документы - диски и распечатки биллинга в материалы уголовного дела. Так, уже подшиты в 25 том показания потерпевшего Козлова О.И.,данные им в конце марта, а вот ответы от провайдеров, поступившие в феврале-марте, никак не найдут своего места в материалах уголовного дела.</w:t>
      </w:r>
    </w:p>
    <w:p>
      <w:pPr>
        <w:pStyle w:val="style0"/>
      </w:pPr>
      <w:r>
        <w:rPr>
          <w:rFonts w:ascii="Arial" w:hAnsi="Arial"/>
          <w:sz w:val="20"/>
          <w:szCs w:val="20"/>
        </w:rPr>
        <w:t xml:space="preserve">В настоящее время  уже опросили всех потерпевших и свидетелей обвинения, а мы так и не задали им вопросов, которые у нас возникли бы, если бы мы были допущены судьей к материалам уголовного дела -детализации телефонных звонков потерпевших и </w:t>
      </w:r>
    </w:p>
    <w:p>
      <w:pPr>
        <w:pStyle w:val="style0"/>
      </w:pPr>
      <w:r>
        <w:rPr>
          <w:rFonts w:ascii="Arial" w:hAnsi="Arial"/>
          <w:sz w:val="20"/>
          <w:szCs w:val="20"/>
        </w:rPr>
        <w:t>свидетелей.</w:t>
      </w:r>
    </w:p>
    <w:p>
      <w:pPr>
        <w:pStyle w:val="style0"/>
      </w:pP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Возражаю против вышеуказанных действий судьи Ананич В.А., грубо нарушающей процессуальные права Толмачева А.М. и его защитников.</w:t>
      </w:r>
    </w:p>
    <w:p>
      <w:pPr>
        <w:pStyle w:val="style0"/>
      </w:pPr>
      <w:r>
        <w:rPr>
          <w:rFonts w:ascii="Arial" w:hAnsi="Arial"/>
          <w:sz w:val="20"/>
          <w:szCs w:val="20"/>
        </w:rPr>
        <w:t xml:space="preserve">Суд, не являясь ни органом преследования, ни органом защиты, лишь создает необходимые условия для исполнения сторонами процессуальных обязанностей ( ч.3 ст.15 УПК) при неукоснительном и безусловном соблюдении порядка уголовного судопроизводства ( ст.1 ч.2 УПК). </w:t>
      </w:r>
    </w:p>
    <w:p>
      <w:pPr>
        <w:pStyle w:val="style0"/>
      </w:pPr>
      <w:r>
        <w:rPr>
          <w:rFonts w:ascii="Arial" w:hAnsi="Arial"/>
          <w:sz w:val="20"/>
          <w:szCs w:val="20"/>
        </w:rPr>
        <w:t xml:space="preserve">В соответствии с конституционным принципом состязательности и равноправия сторон (часть третья статьи 123 Конституции Российской Федерации) в уголовном судопроизводстве функции обвинения, защиты и разрешения уголовного дела отделены друг от друга и не могут быть возложены на один и тот же орган или одно и то же должностное лицо (часть вторая статьи 15 УПК РФ). </w:t>
      </w:r>
    </w:p>
    <w:p>
      <w:pPr>
        <w:pStyle w:val="style0"/>
      </w:pPr>
      <w:r>
        <w:rPr>
          <w:rFonts w:ascii="Arial" w:hAnsi="Arial"/>
          <w:sz w:val="20"/>
          <w:szCs w:val="20"/>
        </w:rPr>
        <w:t xml:space="preserve">Согласно ч. 1 ст. 243 УПК РФ председательствующий в судебном заседании судья обязан принимать предусмотренный уголовно-процессуальным законодательством меры по обеспечению состязательности и равноправия сторон. </w:t>
      </w:r>
    </w:p>
    <w:p>
      <w:pPr>
        <w:pStyle w:val="style0"/>
      </w:pPr>
      <w:r>
        <w:rPr>
          <w:rFonts w:ascii="Arial" w:hAnsi="Arial"/>
          <w:sz w:val="20"/>
          <w:szCs w:val="20"/>
        </w:rPr>
        <w:t>Учитывая, что занимаемая должность и опыт работы судьи Ананич В.А. не позволяет сделать вывод о незнании ею действующего законодательства, уместно предположить, что она может быть косвенно заинтересована в исходе дела, в связи с чем умышленно нарушает принцип законности в ходе судебного следствия.</w:t>
      </w:r>
    </w:p>
    <w:p>
      <w:pPr>
        <w:pStyle w:val="style0"/>
      </w:pPr>
      <w:r>
        <w:rPr>
          <w:rFonts w:ascii="Arial" w:hAnsi="Arial"/>
          <w:sz w:val="20"/>
          <w:szCs w:val="20"/>
        </w:rPr>
        <w:t>Учитывая вышеизложенное, и руководствуясь ч. 3 ст. 243 УПК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Arial" w:hAnsi="Arial"/>
          <w:sz w:val="20"/>
          <w:szCs w:val="20"/>
        </w:rPr>
        <w:t>ПРОШУ</w:t>
      </w:r>
    </w:p>
    <w:p>
      <w:pPr>
        <w:pStyle w:val="style0"/>
        <w:numPr>
          <w:ilvl w:val="0"/>
          <w:numId w:val="1"/>
        </w:numPr>
      </w:pPr>
      <w:r>
        <w:rPr>
          <w:rFonts w:ascii="Arial" w:hAnsi="Arial"/>
          <w:sz w:val="20"/>
          <w:szCs w:val="20"/>
        </w:rPr>
        <w:t>указанные возражения против действий председательствующего судьи Ананич В.А. занести в протокол судебного заседания.</w:t>
      </w:r>
    </w:p>
    <w:p>
      <w:pPr>
        <w:pStyle w:val="style0"/>
        <w:numPr>
          <w:ilvl w:val="0"/>
          <w:numId w:val="1"/>
        </w:numPr>
      </w:pPr>
      <w:r>
        <w:rPr>
          <w:rFonts w:ascii="Arial" w:hAnsi="Arial"/>
          <w:sz w:val="20"/>
          <w:szCs w:val="20"/>
        </w:rPr>
        <w:t>устранить нарушение действующего уголовно-процессуального законодательства со стороны председательствующего в ходе дальнейшего судебного следствия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Arial" w:hAnsi="Arial"/>
          <w:sz w:val="20"/>
          <w:szCs w:val="20"/>
        </w:rPr>
        <w:t xml:space="preserve">Изучеева А.И.                                                        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Arial" w:hAnsi="Arial"/>
          <w:sz w:val="20"/>
          <w:szCs w:val="20"/>
        </w:rPr>
        <w:t xml:space="preserve">  </w:t>
      </w:r>
      <w:r>
        <w:rPr>
          <w:rFonts w:ascii="Arial" w:hAnsi="Arial"/>
          <w:sz w:val="20"/>
          <w:szCs w:val="20"/>
        </w:rPr>
        <w:t>5 июня  2014г.</w:t>
      </w:r>
    </w:p>
    <w:p>
      <w:pPr>
        <w:pStyle w:val="style0"/>
      </w:pPr>
      <w:r>
        <w:rPr>
          <w:rFonts w:ascii="Arial" w:hAnsi="Arial"/>
          <w:sz w:val="20"/>
          <w:szCs w:val="20"/>
        </w:rPr>
      </w:r>
    </w:p>
    <w:p>
      <w:pPr>
        <w:pStyle w:val="style0"/>
      </w:pPr>
      <w:r>
        <w:rPr>
          <w:rFonts w:ascii="Arial" w:hAnsi="Arial"/>
          <w:sz w:val="20"/>
          <w:szCs w:val="20"/>
        </w:rPr>
      </w:r>
    </w:p>
    <w:p>
      <w:pPr>
        <w:pStyle w:val="style0"/>
      </w:pPr>
      <w:r>
        <w:rPr>
          <w:rFonts w:ascii="Arial" w:hAnsi="Arial"/>
          <w:sz w:val="20"/>
          <w:szCs w:val="20"/>
        </w:rPr>
      </w:r>
    </w:p>
    <w:p>
      <w:pPr>
        <w:pStyle w:val="style0"/>
      </w:pPr>
      <w:r>
        <w:rPr>
          <w:rFonts w:ascii="Arial" w:hAnsi="Arial"/>
          <w:sz w:val="20"/>
          <w:szCs w:val="20"/>
        </w:rPr>
      </w:r>
    </w:p>
    <w:p>
      <w:pPr>
        <w:pStyle w:val="style0"/>
      </w:pPr>
      <w:r>
        <w:rPr>
          <w:rFonts w:ascii="Arial" w:hAnsi="Arial"/>
          <w:sz w:val="20"/>
          <w:szCs w:val="20"/>
        </w:rPr>
      </w:r>
    </w:p>
    <w:p>
      <w:pPr>
        <w:pStyle w:val="style0"/>
      </w:pPr>
      <w:r>
        <w:rPr>
          <w:rFonts w:ascii="Arial" w:hAnsi="Arial"/>
          <w:sz w:val="20"/>
          <w:szCs w:val="20"/>
        </w:rPr>
      </w:r>
    </w:p>
    <w:p>
      <w:pPr>
        <w:pStyle w:val="style0"/>
      </w:pPr>
      <w:r>
        <w:rPr>
          <w:rFonts w:ascii="Arial" w:hAnsi="Arial"/>
          <w:sz w:val="20"/>
          <w:szCs w:val="20"/>
        </w:rPr>
      </w:r>
    </w:p>
    <w:p>
      <w:pPr>
        <w:pStyle w:val="style0"/>
      </w:pPr>
      <w:r>
        <w:rPr>
          <w:rFonts w:ascii="Arial" w:hAnsi="Arial"/>
          <w:sz w:val="20"/>
          <w:szCs w:val="20"/>
        </w:rPr>
      </w:r>
    </w:p>
    <w:p>
      <w:pPr>
        <w:pStyle w:val="style0"/>
      </w:pPr>
      <w:r>
        <w:rPr>
          <w:rFonts w:ascii="Arial" w:hAnsi="Arial"/>
          <w:sz w:val="20"/>
          <w:szCs w:val="20"/>
        </w:rPr>
      </w:r>
    </w:p>
    <w:p>
      <w:pPr>
        <w:pStyle w:val="style0"/>
      </w:pPr>
      <w:r>
        <w:rPr>
          <w:rFonts w:ascii="Arial" w:hAnsi="Arial"/>
          <w:sz w:val="20"/>
          <w:szCs w:val="20"/>
        </w:rPr>
      </w:r>
    </w:p>
    <w:p>
      <w:pPr>
        <w:pStyle w:val="style0"/>
      </w:pPr>
      <w:r>
        <w:rPr>
          <w:rFonts w:ascii="Arial" w:hAnsi="Arial"/>
          <w:sz w:val="20"/>
          <w:szCs w:val="20"/>
        </w:rPr>
      </w:r>
    </w:p>
    <w:p>
      <w:pPr>
        <w:pStyle w:val="style0"/>
      </w:pPr>
      <w:r>
        <w:rPr>
          <w:rFonts w:ascii="Arial" w:hAnsi="Arial"/>
          <w:sz w:val="20"/>
          <w:szCs w:val="20"/>
        </w:rPr>
      </w:r>
    </w:p>
    <w:sectPr>
      <w:type w:val="nextPage"/>
      <w:pgSz w:h="15840" w:w="12240"/>
      <w:pgMar w:bottom="1440" w:footer="0" w:gutter="0" w:header="0" w:left="1800" w:right="1800" w:top="1440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 w:val="false"/>
      <w:tabs>
        <w:tab w:leader="none" w:pos="709" w:val="left"/>
      </w:tabs>
      <w:suppressAutoHyphens w:val="true"/>
    </w:pPr>
    <w:rPr>
      <w:rFonts w:ascii="Times New Roman" w:cs="Mangal" w:eastAsia="SimSun" w:hAnsi="Times New Roman"/>
      <w:color w:val="auto"/>
      <w:sz w:val="24"/>
      <w:szCs w:val="24"/>
      <w:lang w:bidi="hi-IN" w:eastAsia="zh-CN" w:val="ru-RU"/>
    </w:rPr>
  </w:style>
  <w:style w:styleId="style15" w:type="character">
    <w:name w:val="ListLabel 2"/>
    <w:next w:val="style15"/>
    <w:rPr>
      <w:rFonts w:cs="Symbol"/>
    </w:rPr>
  </w:style>
  <w:style w:styleId="style16" w:type="paragraph">
    <w:name w:val="Заголовок"/>
    <w:basedOn w:val="style0"/>
    <w:next w:val="style17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</w:pPr>
    <w:rPr/>
  </w:style>
  <w:style w:styleId="style18" w:type="paragraph">
    <w:name w:val="Список"/>
    <w:basedOn w:val="style17"/>
    <w:next w:val="style18"/>
    <w:pPr/>
    <w:rPr>
      <w:rFonts w:cs="Mangal"/>
    </w:rPr>
  </w:style>
  <w:style w:styleId="style19" w:type="paragraph">
    <w:name w:val="Название"/>
    <w:basedOn w:val="style0"/>
    <w:next w:val="style19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revision>0</cp:revision>
</cp:coreProperties>
</file>