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hAnsi="Arial"/>
          <w:sz w:val="18"/>
          <w:szCs w:val="18"/>
        </w:rPr>
        <w:t xml:space="preserve">Судье </w:t>
      </w:r>
    </w:p>
    <w:p>
      <w:pPr>
        <w:pStyle w:val="style0"/>
        <w:jc w:val="right"/>
      </w:pPr>
      <w:r>
        <w:rPr>
          <w:rFonts w:ascii="Arial" w:hAnsi="Arial"/>
          <w:sz w:val="18"/>
          <w:szCs w:val="18"/>
        </w:rPr>
        <w:t>Кущевского районного суда</w:t>
      </w:r>
    </w:p>
    <w:p>
      <w:pPr>
        <w:pStyle w:val="style0"/>
        <w:jc w:val="right"/>
      </w:pPr>
      <w:r>
        <w:rPr>
          <w:rFonts w:ascii="Arial" w:hAnsi="Arial"/>
          <w:sz w:val="18"/>
          <w:szCs w:val="18"/>
        </w:rPr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18"/>
          <w:szCs w:val="18"/>
        </w:rPr>
        <w:t>Защитника подсудимого</w:t>
      </w:r>
    </w:p>
    <w:p>
      <w:pPr>
        <w:pStyle w:val="style0"/>
        <w:jc w:val="right"/>
      </w:pPr>
      <w:r>
        <w:rPr>
          <w:rFonts w:ascii="Arial" w:hAnsi="Arial"/>
          <w:sz w:val="18"/>
          <w:szCs w:val="18"/>
        </w:rPr>
        <w:t>Толмачева А.М. -</w:t>
      </w:r>
    </w:p>
    <w:p>
      <w:pPr>
        <w:pStyle w:val="style0"/>
        <w:jc w:val="right"/>
      </w:pPr>
      <w:r>
        <w:rPr>
          <w:rFonts w:ascii="Arial" w:hAnsi="Arial"/>
          <w:sz w:val="18"/>
          <w:szCs w:val="18"/>
        </w:rPr>
        <w:t>Изучеевой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hAnsi="Arial"/>
          <w:sz w:val="18"/>
          <w:szCs w:val="18"/>
        </w:rPr>
        <w:t>ВОЗРАЖЕНИЯ</w:t>
      </w:r>
    </w:p>
    <w:p>
      <w:pPr>
        <w:pStyle w:val="style0"/>
        <w:jc w:val="center"/>
      </w:pPr>
      <w:r>
        <w:rPr>
          <w:rFonts w:ascii="Arial" w:hAnsi="Arial"/>
          <w:sz w:val="18"/>
          <w:szCs w:val="18"/>
        </w:rPr>
        <w:t>на действия председательствующего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В Вашем производстве находится уголовное дело по обвинению Толмачева А.М, Галагана Ю.В., Морозовой Е.Ю.  в совершении преступлений, предусмотренных  п.»б» ч.3 ст. 163 УК РФ. </w:t>
      </w:r>
    </w:p>
    <w:p>
      <w:pPr>
        <w:pStyle w:val="style0"/>
      </w:pPr>
      <w:r>
        <w:rPr>
          <w:rFonts w:ascii="Arial" w:hAnsi="Arial"/>
          <w:sz w:val="18"/>
          <w:szCs w:val="18"/>
        </w:rPr>
        <w:t>5 июня  2014г. председательствующим судьей Ананич В.А.  был грубо нарушен УПК РФ.</w:t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Прокурор Козинов С.В. 5 июня неожиданно заявил о том, что сегодня, 5 июня,  </w:t>
      </w:r>
      <w:r>
        <w:rPr>
          <w:rFonts w:ascii="Arial" w:hAnsi="Arial"/>
          <w:b/>
          <w:bCs/>
          <w:sz w:val="18"/>
          <w:szCs w:val="18"/>
        </w:rPr>
        <w:t>будет</w:t>
      </w:r>
      <w:r>
        <w:rPr>
          <w:rFonts w:ascii="Arial" w:hAnsi="Arial"/>
          <w:sz w:val="18"/>
          <w:szCs w:val="18"/>
        </w:rPr>
        <w:t xml:space="preserve"> исследоваться вещественное доказательство — автомобиль БМВ. </w:t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В соответствии с п.1. ст.284 УПК РФ, </w:t>
      </w:r>
      <w:r>
        <w:rPr>
          <w:rFonts w:ascii="Arial" w:hAnsi="Arial"/>
          <w:b/>
          <w:bCs/>
          <w:sz w:val="18"/>
          <w:szCs w:val="18"/>
        </w:rPr>
        <w:t>исследование вещественных доказательств</w:t>
      </w:r>
      <w:r>
        <w:rPr>
          <w:rFonts w:ascii="Arial" w:hAnsi="Arial"/>
          <w:b w:val="false"/>
          <w:bCs w:val="false"/>
          <w:sz w:val="18"/>
          <w:szCs w:val="18"/>
        </w:rPr>
        <w:t xml:space="preserve"> допускается </w:t>
      </w:r>
      <w:r>
        <w:rPr>
          <w:rFonts w:ascii="Arial" w:hAnsi="Arial"/>
          <w:b/>
          <w:bCs/>
          <w:sz w:val="18"/>
          <w:szCs w:val="18"/>
        </w:rPr>
        <w:t>при условии ходатайства</w:t>
      </w:r>
      <w:r>
        <w:rPr>
          <w:rFonts w:ascii="Arial" w:hAnsi="Arial"/>
          <w:b w:val="false"/>
          <w:bCs w:val="false"/>
          <w:sz w:val="18"/>
          <w:szCs w:val="18"/>
        </w:rPr>
        <w:t xml:space="preserve"> об этом стороны обвинения или стороны защиты.</w:t>
      </w:r>
    </w:p>
    <w:p>
      <w:pPr>
        <w:pStyle w:val="style0"/>
      </w:pPr>
      <w:r>
        <w:rPr>
          <w:rFonts w:ascii="Arial" w:hAnsi="Arial"/>
          <w:b w:val="false"/>
          <w:bCs w:val="false"/>
          <w:sz w:val="18"/>
          <w:szCs w:val="18"/>
        </w:rPr>
        <w:t>Такого ходатайства от стороны обвинения не было заявлено в ходе судебных заседаний вплоть до 5 июня 2014г, однако во внутреннем дворе Кущевского районного суда 5 июня неожиданно материализовался автомобиль БМВ, принадлежащий Козлову Д.О.</w:t>
      </w:r>
    </w:p>
    <w:p>
      <w:pPr>
        <w:pStyle w:val="style0"/>
      </w:pPr>
      <w:r>
        <w:rPr>
          <w:rFonts w:ascii="Arial" w:hAnsi="Arial"/>
          <w:b w:val="false"/>
          <w:bCs w:val="false"/>
          <w:sz w:val="18"/>
          <w:szCs w:val="18"/>
        </w:rPr>
        <w:t xml:space="preserve">Эти «чудеса»  </w:t>
      </w:r>
      <w:r>
        <w:rPr>
          <w:rFonts w:ascii="Arial" w:hAnsi="Arial"/>
          <w:sz w:val="18"/>
          <w:szCs w:val="18"/>
        </w:rPr>
        <w:t xml:space="preserve"> означают, что прокурор Козинов С.В. ранее, в период с 31 мая по 4 июня,   в не процессуальном порядке обратился к судье  Ананич В.А.  с просьбой пригласить собственника автомашины Козлова Д.О. вместе  с  автомобилем  в  Кущевский районный суд 5 июня 2014г.</w:t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Судья Ананич В.А. послушно исполнила </w:t>
      </w:r>
      <w:r>
        <w:rPr>
          <w:rFonts w:ascii="Arial" w:hAnsi="Arial"/>
          <w:b/>
          <w:bCs/>
          <w:sz w:val="18"/>
          <w:szCs w:val="18"/>
        </w:rPr>
        <w:t>непроцессуальную</w:t>
      </w:r>
      <w:r>
        <w:rPr>
          <w:rFonts w:ascii="Arial" w:hAnsi="Arial"/>
          <w:sz w:val="18"/>
          <w:szCs w:val="18"/>
        </w:rPr>
        <w:t xml:space="preserve"> просьбу Козинова С.В.,  оставив в неведении сторону защиты как относительно самого намерения гособвинителя исследовать только одно  вещественное  доказательство — автомобиль и не исследовать другие вещественные доказательства - аудиозаписи и видеозаписи, так и относительно даты исследования доказательства.</w:t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Все вышеперечисленное означает, что судья Ананич В.А. вступила в сговор с гособвинителем и </w:t>
      </w:r>
      <w:r>
        <w:rPr>
          <w:rFonts w:ascii="Arial" w:hAnsi="Arial"/>
          <w:b/>
          <w:bCs/>
          <w:sz w:val="18"/>
          <w:szCs w:val="18"/>
        </w:rPr>
        <w:t>в нарушение принципа равноправия сторон удовлетворила не заявленное ходатайство</w:t>
      </w:r>
      <w:r>
        <w:rPr>
          <w:rFonts w:ascii="Arial" w:hAnsi="Arial"/>
          <w:sz w:val="18"/>
          <w:szCs w:val="18"/>
        </w:rPr>
        <w:t>, приняв меры к вызову в суд Козлова Д.О. вместе с автомобилем.</w:t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Суд, не являясь ни органом преследования, ни органом защиты, лишь создает необходимые условия для исполнения сторонами процессуальных обязанностей ( ч.3 ст.15 УПК) при неукоснительном и безусловном соблюдении порядка уголовного судопроизводства ( ст.1 ч.2 УПК). </w:t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Вот этот </w:t>
      </w:r>
      <w:r>
        <w:rPr>
          <w:rFonts w:ascii="Arial" w:hAnsi="Arial"/>
          <w:b/>
          <w:bCs/>
          <w:sz w:val="18"/>
          <w:szCs w:val="18"/>
        </w:rPr>
        <w:t>порядок судопроизводства и был нарушен судьей Ананич В.А, удовлетворившей непроцессуальное ходатайство прокурора Козинова С.В.</w:t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В соответствии с конституционным принципом состязательности и равноправия сторон (часть третья статьи 123 Конституции Российской Федерации) в уголовном судопроизводстве функции обвинения, защиты и разрешения уголовного дела отделены друг от друга и не могут быть возложены на один и тот же орган или одно и то же должностное лицо (часть вторая статьи 15 УПК РФ). </w:t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Согласно ч. 1 ст. 243 УПК РФ председательствующий в судебном заседании судья обязан принимать предусмотренный уголовно-процессуальным законодательством меры по обеспечению состязательности и равноправия сторон. </w:t>
      </w:r>
    </w:p>
    <w:p>
      <w:pPr>
        <w:pStyle w:val="style0"/>
      </w:pPr>
      <w:r>
        <w:rPr>
          <w:rFonts w:ascii="Arial" w:hAnsi="Arial"/>
          <w:sz w:val="18"/>
          <w:szCs w:val="18"/>
        </w:rPr>
        <w:t>Учитывая, что занимаемая должность и опыт работы судьи Ананич В.А. не позволяет сделать вывод о незнании ею действующего законодательства, уместно предположить, что она может быть косвенно заинтересована в исходе дела, в связи с чем умышленно нарушает принцип законности в ходе судебного следствия.</w:t>
      </w:r>
    </w:p>
    <w:p>
      <w:pPr>
        <w:pStyle w:val="style0"/>
      </w:pPr>
      <w:r>
        <w:rPr>
          <w:rFonts w:ascii="Arial" w:hAnsi="Arial"/>
          <w:sz w:val="18"/>
          <w:szCs w:val="18"/>
        </w:rPr>
        <w:t>Учитывая вышеизложенное, и руководствуясь ч. 3 ст. 243 УПК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18"/>
          <w:szCs w:val="18"/>
        </w:rPr>
        <w:t>ПРОШУ</w:t>
      </w:r>
    </w:p>
    <w:p>
      <w:pPr>
        <w:pStyle w:val="style0"/>
        <w:numPr>
          <w:ilvl w:val="0"/>
          <w:numId w:val="2"/>
        </w:numPr>
      </w:pPr>
      <w:r>
        <w:rPr>
          <w:rFonts w:ascii="Arial" w:hAnsi="Arial"/>
          <w:sz w:val="18"/>
          <w:szCs w:val="18"/>
        </w:rPr>
        <w:t>указанные возражения против действий председательствующего судьи Ананич В.А. занести в протокол судебного заседания.</w:t>
      </w:r>
    </w:p>
    <w:p>
      <w:pPr>
        <w:pStyle w:val="style0"/>
        <w:numPr>
          <w:ilvl w:val="0"/>
          <w:numId w:val="2"/>
        </w:numPr>
      </w:pPr>
      <w:r>
        <w:rPr>
          <w:rFonts w:ascii="Arial" w:hAnsi="Arial"/>
          <w:sz w:val="18"/>
          <w:szCs w:val="18"/>
        </w:rPr>
        <w:t>устранить нарушение действующего уголовно-процессуального законодательства со стороны председательствующего в ходе дальнейшего судебного следствия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18"/>
          <w:szCs w:val="18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18"/>
          <w:szCs w:val="18"/>
        </w:rPr>
        <w:t>16 июня  2014г.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Третий случай оглашения показаний свидетеля, к сожалению, также не лишён проблем в правоприменительной практике. Основное нарушение, которое допускают суды в этом случае, это оглашение показаний свидетеля, данных им на следствии при отсутствии существенных противоречий между предыдущими показаниями свидетеля и показаниями, данными им в суде. Закон для оглашения показаний в этом случае требует наличия именно существенных противоречий. Понятие «существенные противоречия» также является сугубо оценочным, и только судья в конечно итоге решает, есть ли существенные противоречия в показаниях или их нет. Хотя, адвокату ничто не мешает подать возражение на это и не согласится с мнением судьи и решением судьи на оглашение таких показаний. Законодательно нельзя определить какие противоречия являются существенными, а какие нет. Все показания индивидуальны. Однако в суде часто можно услышать от свидетеля, что он не помнит те или иные обстоятельства по делу, например, говорит, что не помнит имя человека или не помнит дату произошедшего. В этом случае очень часто обвинитель ходатайствует об оглашении ранее данных показаний в связи с наличием существенных противоречий и суд, как правило, удовлетворяет такое ходатайство. Это незаконно. Совершенно очевидно, что оглашение показаний незаконно в том случае если свидетель что-то не вспомнил или забыл показать в судебном заседании. Никакого противоречия в показаниях тут нет и быть не может. Если он что то не сказал, суд вправе задать ему дополнительные вопросы, но не оглашать при этом предыдущие показания. Однако суды часто считают данные случаи противоречием в показаниях, принимают решение огласить показания свидетеля и тем самыми «напомнить» свидетелю, что он показывал ранее. Такое оглашение показаний, являющееся фактически не средством устранения противоречий, а «напоминанием» показаний, на мой взгляд, является грубым нарушением уголовно-процессуального закона - ч.3 ст.281 УПК РФ. Существенным противоречием следует признать случай когда, например, на следствии свидетель заявлял, что Петров нанес удар ножом Иванову, а в суде этот же свидетель показал, что Петров не наносил удар ножом Иванову. Вот этот случай действительно будет существенным противоречием в показаниях и предыдущие показания без сомнения должны быть оглашены в соответствии с ч.3 ст.281 УПК РФ. </w:t>
      </w:r>
    </w:p>
    <w:p>
      <w:pPr>
        <w:pStyle w:val="style0"/>
      </w:pPr>
      <w:r>
        <w:rPr>
          <w:rFonts w:ascii="Arial" w:hAnsi="Arial"/>
          <w:sz w:val="18"/>
          <w:szCs w:val="18"/>
        </w:rPr>
        <w:t>25 апреля  2014г. свидетель  Козлов Денис Олегович, давая устные показания, а точнее - зачитывая заранее заготовленный текст, был уличен адвокатом Вуколовой М.В. в «плагиате»:текст его  «заметок», разрешенных УПК, совпадал вплоть до запятых, с текстом его протокола допроса, который следователь Уразова С.А. скопировала в обвинительное заключение.</w:t>
      </w:r>
    </w:p>
    <w:p>
      <w:pPr>
        <w:pStyle w:val="style0"/>
      </w:pPr>
      <w:r>
        <w:rPr>
          <w:rFonts w:ascii="Arial" w:hAnsi="Arial"/>
          <w:sz w:val="18"/>
          <w:szCs w:val="18"/>
        </w:rPr>
        <w:t>Поскольку ни он, ни его отец -Козлов Олег Иванович с материалами дела не знакомились, на руках у них обвинительного заключения нет, это означает, что-либо следователь предоставила  семье Козловых флешку с обвинительным заключением/материалами уголовного дела, либо это сделало государственное обвинение.</w:t>
      </w:r>
    </w:p>
    <w:p>
      <w:pPr>
        <w:pStyle w:val="style0"/>
      </w:pPr>
      <w:r>
        <w:rPr>
          <w:rFonts w:ascii="Arial" w:hAnsi="Arial"/>
          <w:sz w:val="18"/>
          <w:szCs w:val="18"/>
        </w:rPr>
        <w:t>В отношении  отца свидетеля - потерпевшего Козлова Олега Ивановича, ранее я также сделала заявление после «зачитывания» им своего протокола допроса под видом «заметок», что его показания написаны не им, а в ГСУ и что я это докажу впоследствии. Справедливости ради, протоколы допроса Козлова О.И. были им «разбавлены» своими «философическими опусами».</w:t>
      </w:r>
    </w:p>
    <w:p>
      <w:pPr>
        <w:pStyle w:val="style0"/>
      </w:pPr>
      <w:r>
        <w:rPr>
          <w:rFonts w:ascii="Arial" w:hAnsi="Arial"/>
          <w:sz w:val="18"/>
          <w:szCs w:val="18"/>
        </w:rPr>
        <w:t>Допрос потерпевших и свидетелей в судебном заседании является не только способом получения доказательств по уголовному делу, но и средством проверки их достоверности.</w:t>
      </w:r>
    </w:p>
    <w:p>
      <w:pPr>
        <w:pStyle w:val="style0"/>
      </w:pPr>
      <w:r>
        <w:rPr>
          <w:rFonts w:ascii="Arial" w:hAnsi="Arial"/>
          <w:sz w:val="18"/>
          <w:szCs w:val="18"/>
        </w:rPr>
        <w:t>Если потерпевшему и свидетелям предоставляется возможность всего лишь зачитать свой протокол допроса, то никакой проверки достоверности ранее данных ими показаний  нет.</w:t>
      </w:r>
    </w:p>
    <w:p>
      <w:pPr>
        <w:pStyle w:val="style0"/>
      </w:pPr>
      <w:r>
        <w:rPr>
          <w:rFonts w:ascii="Arial" w:hAnsi="Arial"/>
          <w:sz w:val="18"/>
          <w:szCs w:val="18"/>
        </w:rPr>
        <w:t>Считаю, что проверку достоверности показания, данные Козловым Д.О. и Козловым О.И. на предварительном следствии ( в части «письменных заметок») не проходили.</w:t>
      </w:r>
    </w:p>
    <w:p>
      <w:pPr>
        <w:pStyle w:val="style0"/>
      </w:pPr>
      <w:r>
        <w:rPr>
          <w:rFonts w:ascii="Arial" w:hAnsi="Arial"/>
          <w:sz w:val="18"/>
          <w:szCs w:val="18"/>
        </w:rPr>
        <w:t>Вместо устных показаний мы имеем дело с завуалированным оглашением показаний, данных на предварительном следствии,  которые допускаются законом только в исключительных случаях.</w:t>
      </w:r>
    </w:p>
    <w:p>
      <w:pPr>
        <w:pStyle w:val="style0"/>
      </w:pPr>
      <w:r>
        <w:rPr>
          <w:rFonts w:ascii="Arial" w:hAnsi="Arial"/>
          <w:sz w:val="18"/>
          <w:szCs w:val="18"/>
        </w:rPr>
        <w:t>Суд оставил без внимания и мои сомнения в самостоятельном написании Козловым О.И. «заметок/протокола допроса»,  и  факт уличения Козлова Д.О. «списывания» показаний с протокола допроса.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2" w:type="paragraph">
    <w:name w:val="Заголовок 2"/>
    <w:basedOn w:val="style22"/>
    <w:next w:val="style23"/>
    <w:pPr>
      <w:numPr>
        <w:ilvl w:val="1"/>
        <w:numId w:val="1"/>
      </w:numPr>
      <w:outlineLvl w:val="1"/>
    </w:pPr>
    <w:rPr>
      <w:rFonts w:ascii="Times New Roman" w:cs="Mangal" w:eastAsia="SimSun" w:hAnsi="Times New Roman"/>
      <w:b/>
      <w:bCs/>
      <w:i/>
      <w:iCs/>
      <w:sz w:val="36"/>
      <w:szCs w:val="36"/>
    </w:rPr>
  </w:style>
  <w:style w:styleId="style15" w:type="character">
    <w:name w:val="ListLabel 1"/>
    <w:next w:val="style15"/>
    <w:rPr>
      <w:rFonts w:cs="Symbol"/>
    </w:rPr>
  </w:style>
  <w:style w:styleId="style16" w:type="character">
    <w:name w:val="ListLabel 2"/>
    <w:next w:val="style16"/>
    <w:rPr>
      <w:rFonts w:cs="Symbol"/>
    </w:rPr>
  </w:style>
  <w:style w:styleId="style17" w:type="character">
    <w:name w:val="ListLabel 3"/>
    <w:next w:val="style17"/>
    <w:rPr>
      <w:rFonts w:cs="Symbol"/>
    </w:rPr>
  </w:style>
  <w:style w:styleId="style18" w:type="character">
    <w:name w:val="ListLabel 4"/>
    <w:next w:val="style18"/>
    <w:rPr>
      <w:rFonts w:cs="Symbol"/>
    </w:rPr>
  </w:style>
  <w:style w:styleId="style19" w:type="character">
    <w:name w:val="ListLabel 5"/>
    <w:next w:val="style19"/>
    <w:rPr>
      <w:rFonts w:cs="Symbol"/>
    </w:rPr>
  </w:style>
  <w:style w:styleId="style20" w:type="character">
    <w:name w:val="ListLabel 6"/>
    <w:next w:val="style20"/>
    <w:rPr>
      <w:rFonts w:cs="Symbol"/>
    </w:rPr>
  </w:style>
  <w:style w:styleId="style21" w:type="character">
    <w:name w:val="ListLabel 7"/>
    <w:next w:val="style21"/>
    <w:rPr>
      <w:rFonts w:cs="Symbol"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2014-05-05T03:42:53.20Z</cp:lastPrinted>
  <cp:revision>0</cp:revision>
</cp:coreProperties>
</file>