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end"/>
      </w:pPr>
      <w:bookmarkStart w:id="0" w:name="__DdeLink__563_2047800673"/>
      <w:bookmarkEnd w:id="0"/>
      <w:r>
        <w:rPr>
          <w:rFonts w:ascii="Arial" w:hAnsi="Arial"/>
        </w:rPr>
        <w:t>Судье Кущевского районного суда</w:t>
      </w:r>
    </w:p>
    <w:p>
      <w:pPr>
        <w:pStyle w:val="style0"/>
        <w:jc w:val="end"/>
      </w:pPr>
      <w:r>
        <w:rPr>
          <w:rFonts w:ascii="Arial" w:hAnsi="Arial"/>
        </w:rPr>
        <w:t>Ананич В.А.</w:t>
      </w:r>
    </w:p>
    <w:p>
      <w:pPr>
        <w:pStyle w:val="style0"/>
        <w:jc w:val="end"/>
      </w:pPr>
      <w:r>
        <w:rPr>
          <w:rFonts w:ascii="Arial" w:hAnsi="Arial"/>
        </w:rPr>
      </w:r>
    </w:p>
    <w:p>
      <w:pPr>
        <w:pStyle w:val="style0"/>
        <w:jc w:val="end"/>
      </w:pPr>
      <w:r>
        <w:rPr>
          <w:rFonts w:ascii="Arial" w:hAnsi="Arial"/>
        </w:rPr>
      </w:r>
    </w:p>
    <w:p>
      <w:pPr>
        <w:pStyle w:val="style0"/>
        <w:jc w:val="end"/>
      </w:pPr>
      <w:r>
        <w:rPr>
          <w:rFonts w:ascii="Arial" w:hAnsi="Arial"/>
        </w:rPr>
        <w:t>защитника  подсудимого Толмачева А.М.-</w:t>
      </w:r>
    </w:p>
    <w:p>
      <w:pPr>
        <w:pStyle w:val="style0"/>
        <w:jc w:val="end"/>
      </w:pPr>
      <w:r>
        <w:rPr>
          <w:rFonts w:ascii="Arial" w:hAnsi="Arial"/>
        </w:rPr>
        <w:t>Изучеевой А.И.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  <w:jc w:val="center"/>
      </w:pPr>
      <w:r>
        <w:rPr>
          <w:rFonts w:ascii="Arial" w:hAnsi="Arial"/>
        </w:rPr>
        <w:t>ХОДАТАЙСТВО №3</w:t>
      </w:r>
    </w:p>
    <w:p>
      <w:pPr>
        <w:pStyle w:val="style0"/>
        <w:jc w:val="center"/>
      </w:pPr>
      <w:r>
        <w:rPr>
          <w:rFonts w:ascii="Arial" w:hAnsi="Arial"/>
        </w:rPr>
        <w:t>об исключении доказательства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Прошу признать недопустимым доказательством и исключить из числа доказательств  акт личного досмотра Козлова Д.О. от 15.12. 2011г. (т.1 л.д.184)</w:t>
      </w:r>
    </w:p>
    <w:p>
      <w:pPr>
        <w:pStyle w:val="style0"/>
      </w:pPr>
      <w:r>
        <w:rPr>
          <w:rFonts w:ascii="Arial" w:hAnsi="Arial"/>
        </w:rPr>
        <w:t>Основания:</w:t>
      </w:r>
    </w:p>
    <w:p>
      <w:pPr>
        <w:pStyle w:val="style0"/>
      </w:pPr>
      <w:r>
        <w:rPr>
          <w:rFonts w:ascii="Arial" w:hAnsi="Arial"/>
        </w:rPr>
        <w:t>Согласно закону «Об ОРД», при осуществлении оперативно - розыскной деятельности проводятся следующие оперативно - розыскные мероприятия:</w:t>
      </w:r>
    </w:p>
    <w:p>
      <w:pPr>
        <w:pStyle w:val="style0"/>
      </w:pPr>
      <w:r>
        <w:rPr>
          <w:rFonts w:ascii="Arial" w:hAnsi="Arial"/>
        </w:rPr>
        <w:t>1. Опрос граждан.</w:t>
      </w:r>
    </w:p>
    <w:p>
      <w:pPr>
        <w:pStyle w:val="style0"/>
      </w:pPr>
      <w:r>
        <w:rPr>
          <w:rFonts w:ascii="Arial" w:hAnsi="Arial"/>
        </w:rPr>
        <w:t>2. Наведение справок.</w:t>
      </w:r>
    </w:p>
    <w:p>
      <w:pPr>
        <w:pStyle w:val="style0"/>
      </w:pPr>
      <w:r>
        <w:rPr>
          <w:rFonts w:ascii="Arial" w:hAnsi="Arial"/>
        </w:rPr>
        <w:t>3. Сбор образцов для сравнительного исследования.</w:t>
      </w:r>
    </w:p>
    <w:p>
      <w:pPr>
        <w:pStyle w:val="style0"/>
      </w:pPr>
      <w:r>
        <w:rPr>
          <w:rFonts w:ascii="Arial" w:hAnsi="Arial"/>
        </w:rPr>
        <w:t>4. Проверочная закупка.</w:t>
      </w:r>
    </w:p>
    <w:p>
      <w:pPr>
        <w:pStyle w:val="style0"/>
      </w:pPr>
      <w:r>
        <w:rPr>
          <w:rFonts w:ascii="Arial" w:hAnsi="Arial"/>
        </w:rPr>
        <w:t>5. Исследование предметов и документов.</w:t>
      </w:r>
    </w:p>
    <w:p>
      <w:pPr>
        <w:pStyle w:val="style0"/>
      </w:pPr>
      <w:r>
        <w:rPr>
          <w:rFonts w:ascii="Arial" w:hAnsi="Arial"/>
        </w:rPr>
        <w:t>6. Наблюдение.</w:t>
      </w:r>
    </w:p>
    <w:p>
      <w:pPr>
        <w:pStyle w:val="style0"/>
      </w:pPr>
      <w:r>
        <w:rPr>
          <w:rFonts w:ascii="Arial" w:hAnsi="Arial"/>
        </w:rPr>
        <w:t>7. Отождествление личности.</w:t>
      </w:r>
    </w:p>
    <w:p>
      <w:pPr>
        <w:pStyle w:val="style0"/>
      </w:pPr>
      <w:r>
        <w:rPr>
          <w:rFonts w:ascii="Arial" w:hAnsi="Arial"/>
        </w:rPr>
        <w:t>8. Обследование помещений, зданий, сооружений, участков местности и транспортных средств.</w:t>
      </w:r>
    </w:p>
    <w:p>
      <w:pPr>
        <w:pStyle w:val="style0"/>
      </w:pPr>
      <w:r>
        <w:rPr>
          <w:rFonts w:ascii="Arial" w:hAnsi="Arial"/>
        </w:rPr>
        <w:t>9. Контроль почтовых отправлений, телеграфных и иных сообщений.</w:t>
      </w:r>
    </w:p>
    <w:p>
      <w:pPr>
        <w:pStyle w:val="style0"/>
      </w:pPr>
      <w:r>
        <w:rPr>
          <w:rFonts w:ascii="Arial" w:hAnsi="Arial"/>
        </w:rPr>
        <w:t>10. Прослушивание телефонных переговоров.</w:t>
      </w:r>
    </w:p>
    <w:p>
      <w:pPr>
        <w:pStyle w:val="style0"/>
      </w:pPr>
      <w:r>
        <w:rPr>
          <w:rFonts w:ascii="Arial" w:hAnsi="Arial"/>
        </w:rPr>
        <w:t>11. Снятие информации с технических каналов связи.</w:t>
      </w:r>
    </w:p>
    <w:p>
      <w:pPr>
        <w:pStyle w:val="style0"/>
      </w:pPr>
      <w:r>
        <w:rPr>
          <w:rFonts w:ascii="Arial" w:hAnsi="Arial"/>
        </w:rPr>
        <w:t>12. Оперативное внедрение.</w:t>
      </w:r>
    </w:p>
    <w:p>
      <w:pPr>
        <w:pStyle w:val="style0"/>
      </w:pPr>
      <w:r>
        <w:rPr>
          <w:rFonts w:ascii="Arial" w:hAnsi="Arial"/>
        </w:rPr>
        <w:t>13. Контролируемая поставка.</w:t>
      </w:r>
    </w:p>
    <w:p>
      <w:pPr>
        <w:pStyle w:val="style0"/>
        <w:numPr>
          <w:ilvl w:val="0"/>
          <w:numId w:val="1"/>
        </w:numPr>
      </w:pPr>
      <w:r>
        <w:rPr>
          <w:rFonts w:ascii="Arial" w:hAnsi="Arial"/>
        </w:rPr>
        <w:t>Оперативный эксперимент.</w:t>
      </w:r>
    </w:p>
    <w:p>
      <w:pPr>
        <w:pStyle w:val="style0"/>
      </w:pPr>
      <w:r>
        <w:rPr>
          <w:rFonts w:ascii="Arial" w:hAnsi="Arial"/>
        </w:rPr>
        <w:t xml:space="preserve">Как видно из перечня мероприятий, указанных в Законе, которые имеют право проводить оперативные сотрудники, </w:t>
      </w:r>
      <w:r>
        <w:rPr>
          <w:rFonts w:ascii="Arial" w:hAnsi="Arial"/>
          <w:b/>
          <w:bCs/>
        </w:rPr>
        <w:t>акта личного досмотра среди них нет.</w:t>
      </w:r>
    </w:p>
    <w:p>
      <w:pPr>
        <w:pStyle w:val="style0"/>
      </w:pPr>
      <w:r>
        <w:rPr>
          <w:rFonts w:ascii="Arial" w:hAnsi="Arial"/>
        </w:rPr>
        <w:t>Акт личного досмотра предусмотрен ст. 27.7. «Личный досмотр, досмотр вещей, находящихся при физическом лице» Кодекса об административных правонарушениях.</w:t>
      </w:r>
    </w:p>
    <w:p>
      <w:pPr>
        <w:pStyle w:val="style0"/>
      </w:pPr>
      <w:r>
        <w:rPr>
          <w:rFonts w:ascii="Arial" w:hAnsi="Arial"/>
          <w:b/>
          <w:bCs/>
        </w:rPr>
        <w:t>Поскольку Козлов Д.О. не совершал никакого административного правонарушения, то проведение личного досмотра является незаконным.</w:t>
      </w:r>
    </w:p>
    <w:p>
      <w:pPr>
        <w:pStyle w:val="style0"/>
      </w:pPr>
      <w:r>
        <w:rPr>
          <w:rFonts w:ascii="Arial" w:hAnsi="Arial"/>
        </w:rPr>
        <w:t>Акт был представлен в СУ МУ МВД «Новочеркасское» с простым сопроводительным письмом на имя начальника СУ МУ «Новочеркасское : «В дополнение на исх.12/7-1320 от 19.12.2011 ранее направленных результатов ОРД направляем...акт личного досмотра Козлова Д.О. (т.1 л.д.117).</w:t>
      </w:r>
    </w:p>
    <w:p>
      <w:pPr>
        <w:pStyle w:val="style0"/>
      </w:pPr>
      <w:r>
        <w:rPr>
          <w:rFonts w:ascii="Arial" w:hAnsi="Arial"/>
        </w:rPr>
        <w:t>Однако  в соответствии со ст. 11 Закона об ОРД предоставление результатов оперативно-розыскной деятельности осуществляется на основании постановления руководителя органа, осуществляющего ОРД.</w:t>
      </w:r>
    </w:p>
    <w:p>
      <w:pPr>
        <w:pStyle w:val="style0"/>
      </w:pPr>
      <w:r>
        <w:rPr>
          <w:rFonts w:ascii="Arial" w:hAnsi="Arial"/>
        </w:rPr>
        <w:t>В  постановлении  о предоставлении результатов оперативно-розыскной деятельности   (т.1 л.д.168-170) акт личного досмотра Козлова Д.О. отсутствует.</w:t>
      </w:r>
    </w:p>
    <w:p>
      <w:pPr>
        <w:pStyle w:val="style0"/>
      </w:pPr>
      <w:r>
        <w:rPr>
          <w:rFonts w:ascii="Arial" w:hAnsi="Arial"/>
        </w:rPr>
        <w:t>Следовательно, акт личного досмотра Козлова Д.О.  в силу  положений п.3 ч.2 ст.75 УПК РФ является недопустимым доказательством.</w:t>
      </w:r>
    </w:p>
    <w:p>
      <w:pPr>
        <w:pStyle w:val="style0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В ч. 2 ст. 50 Конституции указывается, что при осуществлении правосудия не допускается использование доказательств, полученных с нарушением федерального закона. Поэтому в качестве средств доказывания могут использоваться только те доказательства, которые соответствуют разрешенным законом с точки зрения процессуального источника, порядка их получения, фиксации и вовлечения в материалы дела.</w:t>
      </w:r>
    </w:p>
    <w:p>
      <w:pPr>
        <w:pStyle w:val="style0"/>
      </w:pPr>
      <w:r>
        <w:rPr>
          <w:rFonts w:ascii="Arial" w:hAnsi="Arial"/>
        </w:rPr>
        <w:t>Доказательства считаются полученными с нарушением закона, если при их собирании и закреплении были нарушены гарантированные Конституцией и процессуальным законом права, свободы и охраняемые законом интересы человека и гражданина либо не был соблюден установленный процессуальным законом порядок их собирания и закрепления, а также если собирание и закрепление доказательств осуществлено ненадлежащим должностным лицом или органом либо в результате действий, не предусмотренных процессуальными нормами (п. 16 Пост. Пленума Верховного Суда РФ от 31.10.1995 N 8).</w:t>
      </w:r>
    </w:p>
    <w:p>
      <w:pPr>
        <w:pStyle w:val="style0"/>
      </w:pPr>
      <w:r>
        <w:rPr>
          <w:rFonts w:ascii="Arial" w:hAnsi="Arial"/>
        </w:rPr>
        <w:t>Поскольку федеральный закон был нарушен — был проведен акт личного досмотра, хотя законом «Об ОРД» такое оперативно-розыскное мероприятие не предусмотрено и сам акт был незаконно приобщен к материалам дела в отсутствие постановления о представлении акта личного досмотра Козлова Д.О. как результата ОРД, прошу признать акта личного досмотра Козлова Д.О. (т.1 л.д.184) от 15.12.2011г.  недопустимым доказательством  и  исключить его из перечня доказательств.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Изучеева А.И.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bookmarkStart w:id="1" w:name="__DdeLink__563_2047800673"/>
      <w:bookmarkStart w:id="2" w:name="__DdeLink__563_2047800673"/>
      <w:bookmarkEnd w:id="2"/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Домодедово, 2013 г.</w:t>
      </w:r>
    </w:p>
    <w:p>
      <w:pPr>
        <w:pStyle w:val="style0"/>
      </w:pPr>
      <w:r>
        <w:rPr>
          <w:rFonts w:ascii="Arial" w:hAnsi="Arial"/>
        </w:rPr>
        <w:t>1. Процессуальное положение потерпевшего. Его законного представителя и представителя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1. Потерпевший представляет собой одну из центральных фигур уголовного процесса. Решение о признании потерпевшим оформляется постановлением дознавателя, следователя или суда. Итак, потерпевшимявляется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 (ч.1 с.42 УПК).</w:t>
      </w:r>
    </w:p>
    <w:p>
      <w:pPr>
        <w:pStyle w:val="style0"/>
      </w:pPr>
      <w:r>
        <w:rPr>
          <w:rFonts w:ascii="Arial" w:hAnsi="Arial"/>
        </w:rPr>
        <w:t>Лицо должно признаваться потерпевшим независимо от степени доказанности факта совершения преступления, которым ему предположительно причинен физический, имущественный, моральный вред. Чрезмерное затягивание с признанием потерпевшим необоснованно ограничивает возможность пострадавшего от преступления защищать свои законные интересы с помощью процессуальных прав, предоставляемых ему с момента вынесения дознавателем, следователем, судьей соответствующего постановления. По уголовным делам о преступлениях, последствием которых явилась смерть лица, права потерпевшего переходят к одному из его близких родственников (ч.8 ст.42 УПК &lt;#"justify"&gt;2. К правам потерпевшего относятся: право знать формулировку предъявленного обвиняемому обвинения; давать показания, в том числе на родном язы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1"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4"/>
      <w:numFmt w:val="decimal"/>
      <w:lvlText w:val="%1."/>
      <w:lvlJc w:val="start"/>
      <w:pPr>
        <w:tabs>
          <w:tab w:pos="720" w:val="num"/>
        </w:tabs>
        <w:ind w:hanging="360" w:start="720"/>
      </w:pPr>
      <w:rPr/>
    </w:lvl>
    <w:lvl w:ilvl="1">
      <w:start w:val="1"/>
      <w:numFmt w:val="decimal"/>
      <w:lvlText w:val="%2."/>
      <w:lvlJc w:val="start"/>
      <w:pPr>
        <w:tabs>
          <w:tab w:pos="1080" w:val="num"/>
        </w:tabs>
        <w:ind w:hanging="360" w:start="1080"/>
      </w:pPr>
    </w:lvl>
    <w:lvl w:ilvl="2">
      <w:start w:val="1"/>
      <w:numFmt w:val="decimal"/>
      <w:lvlText w:val="%3."/>
      <w:lvlJc w:val="start"/>
      <w:pPr>
        <w:tabs>
          <w:tab w:pos="1440" w:val="num"/>
        </w:tabs>
        <w:ind w:hanging="360" w:start="1440"/>
      </w:pPr>
    </w:lvl>
    <w:lvl w:ilvl="3">
      <w:start w:val="1"/>
      <w:numFmt w:val="decimal"/>
      <w:lvlText w:val="%4."/>
      <w:lvlJc w:val="start"/>
      <w:pPr>
        <w:tabs>
          <w:tab w:pos="1800" w:val="num"/>
        </w:tabs>
        <w:ind w:hanging="360" w:start="1800"/>
      </w:pPr>
    </w:lvl>
    <w:lvl w:ilvl="4">
      <w:start w:val="1"/>
      <w:numFmt w:val="decimal"/>
      <w:lvlText w:val="%5."/>
      <w:lvlJc w:val="start"/>
      <w:pPr>
        <w:tabs>
          <w:tab w:pos="2160" w:val="num"/>
        </w:tabs>
        <w:ind w:hanging="360" w:start="2160"/>
      </w:pPr>
    </w:lvl>
    <w:lvl w:ilvl="5">
      <w:start w:val="1"/>
      <w:numFmt w:val="decimal"/>
      <w:lvlText w:val="%6."/>
      <w:lvlJc w:val="start"/>
      <w:pPr>
        <w:tabs>
          <w:tab w:pos="2520" w:val="num"/>
        </w:tabs>
        <w:ind w:hanging="360" w:start="2520"/>
      </w:pPr>
    </w:lvl>
    <w:lvl w:ilvl="6">
      <w:start w:val="1"/>
      <w:numFmt w:val="decimal"/>
      <w:lvlText w:val="%7."/>
      <w:lvlJc w:val="start"/>
      <w:pPr>
        <w:tabs>
          <w:tab w:pos="2880" w:val="num"/>
        </w:tabs>
        <w:ind w:hanging="360" w:start="2880"/>
      </w:pPr>
    </w:lvl>
    <w:lvl w:ilvl="7">
      <w:start w:val="1"/>
      <w:numFmt w:val="decimal"/>
      <w:lvlText w:val="%8."/>
      <w:lvlJc w:val="start"/>
      <w:pPr>
        <w:tabs>
          <w:tab w:pos="3240" w:val="num"/>
        </w:tabs>
        <w:ind w:hanging="360" w:start="3240"/>
      </w:pPr>
    </w:lvl>
    <w:lvl w:ilvl="8">
      <w:start w:val="1"/>
      <w:numFmt w:val="decimal"/>
      <w:lvlText w:val="%9."/>
      <w:lvlJc w:val="start"/>
      <w:pPr>
        <w:tabs>
          <w:tab w:pos="3600" w:val="num"/>
        </w:tabs>
        <w:ind w:hanging="360" w:start="360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pos="432" w:val="num"/>
        </w:tabs>
        <w:ind w:hanging="432" w:start="432"/>
      </w:pPr>
    </w:lvl>
    <w:lvl w:ilvl="1">
      <w:start w:val="1"/>
      <w:numFmt w:val="none"/>
      <w:suff w:val="nothing"/>
      <w:lvlText w:val=""/>
      <w:lvlJc w:val="start"/>
      <w:pPr>
        <w:tabs>
          <w:tab w:pos="576" w:val="num"/>
        </w:tabs>
        <w:ind w:hanging="576" w:start="576"/>
      </w:pPr>
    </w:lvl>
    <w:lvl w:ilvl="2">
      <w:start w:val="1"/>
      <w:numFmt w:val="none"/>
      <w:suff w:val="nothing"/>
      <w:lvlText w:val=""/>
      <w:lvlJc w:val="start"/>
      <w:pPr>
        <w:tabs>
          <w:tab w:pos="720" w:val="num"/>
        </w:tabs>
        <w:ind w:hanging="720" w:start="720"/>
      </w:pPr>
    </w:lvl>
    <w:lvl w:ilvl="3">
      <w:start w:val="1"/>
      <w:numFmt w:val="none"/>
      <w:suff w:val="nothing"/>
      <w:lvlText w:val=""/>
      <w:lvlJc w:val="start"/>
      <w:pPr>
        <w:tabs>
          <w:tab w:pos="864" w:val="num"/>
        </w:tabs>
        <w:ind w:hanging="864" w:start="864"/>
      </w:pPr>
    </w:lvl>
    <w:lvl w:ilvl="4">
      <w:start w:val="1"/>
      <w:numFmt w:val="none"/>
      <w:suff w:val="nothing"/>
      <w:lvlText w:val=""/>
      <w:lvlJc w:val="start"/>
      <w:pPr>
        <w:tabs>
          <w:tab w:pos="1008" w:val="num"/>
        </w:tabs>
        <w:ind w:hanging="1008" w:start="1008"/>
      </w:pPr>
    </w:lvl>
    <w:lvl w:ilvl="5">
      <w:start w:val="1"/>
      <w:numFmt w:val="none"/>
      <w:suff w:val="nothing"/>
      <w:lvlText w:val=""/>
      <w:lvlJc w:val="start"/>
      <w:pPr>
        <w:tabs>
          <w:tab w:pos="1152" w:val="num"/>
        </w:tabs>
        <w:ind w:hanging="1152" w:start="1152"/>
      </w:pPr>
    </w:lvl>
    <w:lvl w:ilvl="6">
      <w:start w:val="1"/>
      <w:numFmt w:val="none"/>
      <w:suff w:val="nothing"/>
      <w:lvlText w:val=""/>
      <w:lvlJc w:val="start"/>
      <w:pPr>
        <w:tabs>
          <w:tab w:pos="1296" w:val="num"/>
        </w:tabs>
        <w:ind w:hanging="1296" w:start="1296"/>
      </w:pPr>
    </w:lvl>
    <w:lvl w:ilvl="7">
      <w:start w:val="1"/>
      <w:numFmt w:val="none"/>
      <w:suff w:val="nothing"/>
      <w:lvlText w:val=""/>
      <w:lvlJc w:val="start"/>
      <w:pPr>
        <w:tabs>
          <w:tab w:pos="1440" w:val="num"/>
        </w:tabs>
        <w:ind w:hanging="1440" w:start="1440"/>
      </w:pPr>
    </w:lvl>
    <w:lvl w:ilvl="8">
      <w:start w:val="1"/>
      <w:numFmt w:val="none"/>
      <w:suff w:val="nothing"/>
      <w:lvlText w:val=""/>
      <w:lvlJc w:val="start"/>
      <w:pPr>
        <w:tabs>
          <w:tab w:pos="1584" w:val="num"/>
        </w:tabs>
        <w:ind w:hanging="1584" w:star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2" w:type="paragraph">
    <w:name w:val="Заголовок 2"/>
    <w:basedOn w:val="style17"/>
    <w:next w:val="style18"/>
    <w:pPr>
      <w:outlineLvl w:val="1"/>
    </w:pPr>
    <w:rPr>
      <w:rFonts w:ascii="Times New Roman" w:cs="Mangal" w:eastAsia="SimSun" w:hAnsi="Times New Roman"/>
      <w:b/>
      <w:bCs/>
      <w:sz w:val="36"/>
      <w:szCs w:val="36"/>
    </w:rPr>
  </w:style>
  <w:style w:styleId="style15" w:type="character">
    <w:name w:val="Символ нумерации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2014-09-05T00:02:39.46Z</dcterms:created>
  <cp:lastPrinted>2014-09-05T00:27:59.60Z</cp:lastPrinted>
  <cp:revision>0</cp:revision>
</cp:coreProperties>
</file>