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end"/>
      </w:pPr>
      <w:r>
        <w:rPr/>
        <w:t>Судье</w:t>
      </w:r>
    </w:p>
    <w:p>
      <w:pPr>
        <w:pStyle w:val="style0"/>
        <w:jc w:val="end"/>
      </w:pPr>
      <w:r>
        <w:rPr/>
        <w:t>Кущевского райсуда</w:t>
      </w:r>
    </w:p>
    <w:p>
      <w:pPr>
        <w:pStyle w:val="style0"/>
        <w:jc w:val="end"/>
      </w:pPr>
      <w:r>
        <w:rPr/>
        <w:t>Ананич В.А.</w:t>
      </w:r>
    </w:p>
    <w:p>
      <w:pPr>
        <w:pStyle w:val="style0"/>
        <w:jc w:val="end"/>
      </w:pPr>
      <w:r>
        <w:rPr/>
      </w:r>
    </w:p>
    <w:p>
      <w:pPr>
        <w:pStyle w:val="style0"/>
        <w:jc w:val="end"/>
      </w:pPr>
      <w:r>
        <w:rPr/>
        <w:t>защитника подсудимого Толмачева А.М</w:t>
      </w:r>
    </w:p>
    <w:p>
      <w:pPr>
        <w:pStyle w:val="style0"/>
        <w:jc w:val="end"/>
      </w:pPr>
      <w:r>
        <w:rPr/>
        <w:t>-Изучеевой А.И.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  <w:t>ХОДАТАЙСТВО №46</w:t>
      </w:r>
    </w:p>
    <w:p>
      <w:pPr>
        <w:pStyle w:val="style0"/>
        <w:jc w:val="center"/>
      </w:pPr>
      <w:r>
        <w:rPr/>
        <w:t>о признании доказательств недопустимыми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Прошу признать недопустимыми доказательствами и исключить из числа доказательств   </w:t>
      </w:r>
      <w:bookmarkStart w:id="0" w:name="__DdeLink__233_2110084433"/>
      <w:bookmarkEnd w:id="0"/>
      <w:r>
        <w:rPr/>
        <w:t xml:space="preserve">протокол осмотра документов от 14.10.12г.   в части соглашения (т.7л.д.234-238),  постановление о признании вещественным доказательством соглашения (т.14 л.д.240), вещественное доказательство -соглашение (т.1 л.д.100-101) </w:t>
      </w:r>
    </w:p>
    <w:p>
      <w:pPr>
        <w:pStyle w:val="style0"/>
      </w:pPr>
      <w:r>
        <w:rPr/>
        <w:t>Основания:</w:t>
      </w:r>
    </w:p>
    <w:p>
      <w:pPr>
        <w:pStyle w:val="style0"/>
      </w:pPr>
      <w:r>
        <w:rPr>
          <w:sz w:val="22"/>
          <w:szCs w:val="22"/>
          <w:lang w:val="ru-RU"/>
        </w:rPr>
        <w:t>Согласно протокола осмотра места происшествия  от 15 декабря 2011г., (т.1 л.д.98-99)  было изъято соглашение, заключенное между директором ООО «София» Козловым О.И. и директором ООО «Кипчак» Галаганом Ю.Г.</w:t>
      </w:r>
    </w:p>
    <w:p>
      <w:pPr>
        <w:pStyle w:val="style0"/>
      </w:pPr>
      <w:r>
        <w:rPr>
          <w:sz w:val="22"/>
          <w:szCs w:val="22"/>
          <w:lang w:val="ru-RU"/>
        </w:rPr>
        <w:t>Соглашение, согласно протоколу, не было упаковано и опечатано.</w:t>
      </w:r>
    </w:p>
    <w:p>
      <w:pPr>
        <w:pStyle w:val="style0"/>
      </w:pPr>
      <w:r>
        <w:rPr>
          <w:sz w:val="22"/>
          <w:szCs w:val="22"/>
          <w:lang w:val="ru-RU"/>
        </w:rPr>
        <w:t xml:space="preserve">В соответствии с ч.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 xml:space="preserve">2.и 3  ст.177 УПК РФ: </w:t>
      </w: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  <w:lang w:val="ru-RU"/>
        </w:rPr>
        <w:t>«...Осмотр следов преступления и иных обнаруженных предметов производится на месте производства следственного действия, за исключением случаев, предусмотренных частью третьей настоящей статьи.</w:t>
      </w:r>
    </w:p>
    <w:p>
      <w:pPr>
        <w:pStyle w:val="style0"/>
      </w:pPr>
      <w:r>
        <w:rPr>
          <w:rFonts w:ascii="Arial" w:hAnsi="Arial"/>
          <w:i/>
          <w:iCs/>
          <w:sz w:val="20"/>
          <w:szCs w:val="20"/>
        </w:rPr>
        <w:t xml:space="preserve">3. Если для производства такого осмотра требуется продолжительное время или осмотр на месте затруднен, то </w:t>
      </w:r>
      <w:r>
        <w:rPr>
          <w:rFonts w:ascii="Arial" w:hAnsi="Arial"/>
          <w:b/>
          <w:bCs/>
          <w:i/>
          <w:iCs/>
          <w:sz w:val="20"/>
          <w:szCs w:val="20"/>
        </w:rPr>
        <w:t>предметы должны быть изъяты, упакованы, опечатаны, заверены подписью следователя на месте осмотра.</w:t>
      </w:r>
      <w:r>
        <w:rPr>
          <w:rFonts w:ascii="Arial" w:hAnsi="Arial"/>
          <w:i/>
          <w:iCs/>
          <w:sz w:val="20"/>
          <w:szCs w:val="20"/>
        </w:rPr>
        <w:t xml:space="preserve"> Изъятию подлежат только те предметы, которые могут иметь отношение к уголовному делу. При этом в протоколе осмотра по возможности указываются индивидуальные признаки и особенности изымаемых предметов.</w:t>
      </w:r>
    </w:p>
    <w:p>
      <w:pPr>
        <w:pStyle w:val="style0"/>
      </w:pPr>
      <w:r>
        <w:rPr>
          <w:sz w:val="22"/>
          <w:szCs w:val="22"/>
          <w:lang w:val="ru-RU"/>
        </w:rPr>
        <w:t>Таким образом, действующее законодательство требовало от следователя Исаковой О.В., изъявшей соглашение в ходе осмотра места происшествия,  составить акт  об изъятии, а так же надлежащим образом упаковать полученное соглашение. Такие действия должностного лица должны гарантировать законность и достоверность следственного мероприятия.</w:t>
      </w:r>
    </w:p>
    <w:p>
      <w:pPr>
        <w:pStyle w:val="style0"/>
      </w:pPr>
      <w:r>
        <w:rPr>
          <w:sz w:val="22"/>
          <w:szCs w:val="22"/>
          <w:lang w:val="ru-RU"/>
        </w:rPr>
        <w:t>Однако 15 декабря 2011г. , изъятие  соглашения–  не было оформлено надлежащим образом: соглашение  не было упаковано, не было опечатано, не было скреплено подписями лиц, участвующих в составлении акта.</w:t>
      </w:r>
    </w:p>
    <w:p>
      <w:pPr>
        <w:pStyle w:val="style0"/>
      </w:pPr>
      <w:r>
        <w:rPr>
          <w:b/>
          <w:bCs/>
          <w:sz w:val="22"/>
          <w:szCs w:val="22"/>
          <w:lang w:val="ru-RU"/>
        </w:rPr>
        <w:t xml:space="preserve">Отсутствие вышеуказанных действий   свидетельствует о возможности свободного доступа к соглашению иных лиц. </w:t>
      </w:r>
    </w:p>
    <w:p>
      <w:pPr>
        <w:pStyle w:val="style0"/>
      </w:pPr>
      <w:r>
        <w:rPr>
          <w:b w:val="false"/>
          <w:bCs w:val="false"/>
          <w:sz w:val="22"/>
          <w:szCs w:val="22"/>
          <w:lang w:val="ru-RU"/>
        </w:rPr>
        <w:t>В соответствии со ст. 11 Закона об ОРД предоставление результатов оперативно-розыскной деятельности осуществляется на основании постановления руководителя органа, осуществляющего ОРД.</w:t>
      </w:r>
    </w:p>
    <w:p>
      <w:pPr>
        <w:pStyle w:val="style0"/>
      </w:pPr>
      <w:r>
        <w:rPr>
          <w:b w:val="false"/>
          <w:bCs w:val="false"/>
          <w:sz w:val="22"/>
          <w:szCs w:val="22"/>
          <w:lang w:val="ru-RU"/>
        </w:rPr>
        <w:t>В  постановлении  о предоставлении результатов оперативно-розыскной деятельности   (т.1 л.д.168-170) соглашение  отсутствует.</w:t>
      </w:r>
    </w:p>
    <w:p>
      <w:pPr>
        <w:pStyle w:val="style0"/>
      </w:pPr>
      <w:r>
        <w:rPr>
          <w:b w:val="false"/>
          <w:bCs w:val="false"/>
          <w:sz w:val="22"/>
          <w:szCs w:val="22"/>
          <w:lang w:val="ru-RU"/>
        </w:rPr>
        <w:t>В отсутствие законных оснований получения следователем Уразовой С.А. соглашения, тем не менее, она проводит следственное действие -осмотр соглашения  и выносит постановление о признании вещественным доказательством вышеуказанного соглашения, «чудесным образом» попавшего в ГСУ ГУ МВД по РО.</w:t>
      </w:r>
    </w:p>
    <w:p>
      <w:pPr>
        <w:pStyle w:val="style0"/>
      </w:pPr>
      <w:r>
        <w:rPr>
          <w:sz w:val="22"/>
          <w:szCs w:val="22"/>
          <w:lang w:val="ru-RU"/>
        </w:rPr>
        <w:t xml:space="preserve">Статьей 89 УПК РФ недвусмысленно определено, что результаты ОРД запрещены к использованию в доказывании, если они не отвечают требованиям, предъявляемым к доказательствам, содержащимся в других его нормах. Чтобы получить такой статус, </w:t>
      </w:r>
      <w:r>
        <w:rPr>
          <w:b/>
          <w:bCs/>
          <w:sz w:val="22"/>
          <w:szCs w:val="22"/>
          <w:lang w:val="ru-RU"/>
        </w:rPr>
        <w:t>они должны быть введены в уголовный процесс с соблюдением жестко установленной процедуры</w:t>
      </w:r>
      <w:r>
        <w:rPr>
          <w:sz w:val="22"/>
          <w:szCs w:val="22"/>
          <w:lang w:val="ru-RU"/>
        </w:rPr>
        <w:t xml:space="preserve">, урегулированной как УПК, так и межведомственными нормативными правовыми документами, а в первую очередь — Инструкцией о порядке представления результатов ОРД дознавателю, органу дознания, следователю, прокурору или в суд, утвержденной приказом МВД, ФСБ, ФСО, ФТС, ФСИН, ФСКН, Минобороны России от 17 апреля 2007г. </w:t>
      </w:r>
    </w:p>
    <w:p>
      <w:pPr>
        <w:pStyle w:val="style0"/>
      </w:pP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ru-RU"/>
        </w:rPr>
        <w:t>В ч. 2 ст. 50 Конституции указывается, что при осуществлении правосудия не допускается использование доказательств, полученных с нарушением федерального закона. Поэтому в качестве средств доказывания могут использоваться только те доказательства, которые соответствуют разрешенным законом с точки зрения процессуального источника, порядка их получения, фиксации и вовлечения в материалы дела.</w:t>
      </w:r>
    </w:p>
    <w:p>
      <w:pPr>
        <w:pStyle w:val="style0"/>
      </w:pPr>
      <w:r>
        <w:rPr>
          <w:sz w:val="22"/>
          <w:szCs w:val="22"/>
          <w:lang w:val="ru-RU"/>
        </w:rPr>
        <w:t>Доказательства считаются полученными с нарушением закона, если при их собирании и закреплении были нарушены гарантированные Конституцией и процессуальным законом права, свободы и охраняемые законом интересы человека и гражданина либо не был соблюден установленный процессуальным законом порядок их собирания и закрепления, а также если собирание и закрепление доказательств осуществлено ненадлежащим должностным лицом или органом либо в результате действий, не предусмотренных процессуальными нормами (п. 16 Пост. Пленума Верховного Суда РФ от 31.10.1995 N 8).</w:t>
      </w:r>
    </w:p>
    <w:p>
      <w:pPr>
        <w:pStyle w:val="style0"/>
      </w:pPr>
      <w:r>
        <w:rPr>
          <w:sz w:val="22"/>
          <w:szCs w:val="22"/>
          <w:lang w:val="ru-RU"/>
        </w:rPr>
        <w:t>Поскольку федеральный закон был нарушен —  соглашение  не было изъято и упаковано в соответствии с требованиями УПК РФ, что привело к свободному доступу к этому диску неизвестных лиц, результаты ОРД не были легализованы в установленном законом порядке,руководствуясь ч.1 ст.75 УПК РФ, ст.50 Конституции РФ,  прошу признать недопустимыми доказательствами:</w:t>
      </w:r>
    </w:p>
    <w:p>
      <w:pPr>
        <w:pStyle w:val="style0"/>
        <w:numPr>
          <w:ilvl w:val="0"/>
          <w:numId w:val="1"/>
        </w:numPr>
      </w:pPr>
      <w:r>
        <w:rPr>
          <w:sz w:val="22"/>
          <w:szCs w:val="22"/>
          <w:lang w:val="ru-RU"/>
        </w:rPr>
        <w:t>протокол осмотра документов от 14.10.12г.   в части соглашения (т.7л.д.234-238),</w:t>
      </w:r>
    </w:p>
    <w:p>
      <w:pPr>
        <w:pStyle w:val="style0"/>
        <w:numPr>
          <w:ilvl w:val="0"/>
          <w:numId w:val="1"/>
        </w:numPr>
      </w:pPr>
      <w:r>
        <w:rPr>
          <w:sz w:val="22"/>
          <w:szCs w:val="22"/>
          <w:lang w:val="ru-RU"/>
        </w:rPr>
        <w:t xml:space="preserve">постановление о признании вещественным доказательством соглашения (т.14 л.д.240), 3)вещественное доказательство -соглашение (т.1 л.д.100-101)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2"/>
          <w:szCs w:val="22"/>
          <w:lang w:val="ru-RU"/>
        </w:rPr>
        <w:t>Изучеева А.И.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22"/>
          <w:szCs w:val="22"/>
          <w:lang w:val="ru-RU"/>
        </w:rPr>
        <w:t xml:space="preserve"> </w:t>
      </w:r>
    </w:p>
    <w:p>
      <w:pPr>
        <w:pStyle w:val="style0"/>
      </w:pPr>
      <w:r>
        <w:rPr>
          <w:sz w:val="22"/>
          <w:szCs w:val="22"/>
          <w:lang w:val="ru-RU"/>
        </w:rPr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ru-RU"/>
        </w:rPr>
        <w:t xml:space="preserve">Статьей 89 УПК РФ недвусмысленно определено, что результаты ОРД запрещены к использованию в доказывании, если они не отвечают требованиям, предъявляемым к доказательствам, содержащимся в других его нормах. Чтобы получить такой статус, </w:t>
      </w:r>
      <w:r>
        <w:rPr>
          <w:b/>
          <w:bCs/>
          <w:lang w:val="ru-RU"/>
        </w:rPr>
        <w:t>они должны быть введены в уголовный процесс с соблюдением жестко установленной процедуры</w:t>
      </w:r>
      <w:r>
        <w:rPr>
          <w:lang w:val="ru-RU"/>
        </w:rPr>
        <w:t xml:space="preserve">, урегулированной как УПК, так и межведомственными нормативными правовыми документами, а в первую очередь — Инструкцией о порядке представления результатов ОРД дознавателю, органу дознания, следователю, прокурору или в суд, утвержденной приказом МВД, ФСБ, ФСО, ФТС, ФСИН, ФСКН, Минобороны России от 17 апреля 2007 г. </w:t>
      </w:r>
    </w:p>
    <w:p>
      <w:pPr>
        <w:pStyle w:val="style0"/>
      </w:pPr>
      <w:r>
        <w:rPr>
          <w:lang w:val="ru-RU"/>
        </w:rPr>
        <w:t>Следовательно, диск Козлова О.И.  был легализован незаконным способом и в силу  положений п.3 ч.2 ст.75 УПК РФ является недопустимым доказательством, и соответственно, протокол прослушивания фонограммы и постановление о признании диска вещественным доказательством  также являются недопустимыми доказательствами.</w:t>
      </w:r>
    </w:p>
    <w:p>
      <w:pPr>
        <w:pStyle w:val="style0"/>
      </w:pPr>
      <w:r>
        <w:rPr>
          <w:lang w:val="ru-RU"/>
        </w:rPr>
        <w:t>В ч. 2 ст. 50 Конституции указывается, что при осуществлении правосудия не допускается использование доказательств, полученных с нарушением федерального закона. Поэтому в качестве средств доказывания могут использоваться только те доказательства, которые соответствуют разрешенным законом с точки зрения процессуального источника, порядка их получения, фиксации и вовлечения в материалы дела.</w:t>
      </w:r>
    </w:p>
    <w:p>
      <w:pPr>
        <w:pStyle w:val="style0"/>
      </w:pPr>
      <w:r>
        <w:rPr>
          <w:lang w:val="ru-RU"/>
        </w:rPr>
        <w:t>Доказательства считаются полученными с нарушением закона, если при их собирании и закреплении были нарушены гарантированные Конституцией и процессуальным законом права, свободы и охраняемые законом интересы человека и гражданина,  либо не был соблюден установленный процессуальным законом порядок их собирания и закрепления, а также если собирание и закрепление доказательств осуществлено ненадлежащим должностным лицом или органом либо в результате действий, не предусмотренных процессуальными нормами (п. 16 Пост. Пленума Верховного Суда РФ от 31.10.1995 N 8).</w:t>
      </w:r>
    </w:p>
    <w:p>
      <w:pPr>
        <w:pStyle w:val="style0"/>
      </w:pPr>
      <w:r>
        <w:rPr>
          <w:lang w:val="ru-RU"/>
        </w:rPr>
        <w:t>В соответствии с ч.1 ст.75 УПК РФ, доказательства, полученные с нарушением требований УПК РФ,являются недопустимыми.</w:t>
      </w:r>
    </w:p>
    <w:p>
      <w:pPr>
        <w:pStyle w:val="style0"/>
      </w:pPr>
      <w:r>
        <w:rPr>
          <w:lang w:val="ru-RU"/>
        </w:rPr>
        <w:t>Руководствуясь ст.75 УПК РФ, ст.50 Конституции РФ, прошу признать недопустимыми доказательствами:</w:t>
      </w:r>
    </w:p>
    <w:p>
      <w:pPr>
        <w:pStyle w:val="style0"/>
      </w:pPr>
      <w:r>
        <w:rPr>
          <w:lang w:val="ru-RU"/>
        </w:rPr>
        <w:t xml:space="preserve">1)протокол осмотра и прослушивания фонограммы диска, выданного Козловым О.И. 15 декабря 2011г. (т.14 л.д.159-168,178-189), </w:t>
      </w:r>
    </w:p>
    <w:p>
      <w:pPr>
        <w:pStyle w:val="style0"/>
      </w:pPr>
      <w:r>
        <w:rPr>
          <w:lang w:val="ru-RU"/>
        </w:rPr>
        <w:t>2)постановление о признании вещественным доказательством диска Козлова О.И.(т.14 л.д.238),</w:t>
      </w:r>
    </w:p>
    <w:p>
      <w:pPr>
        <w:pStyle w:val="style0"/>
      </w:pPr>
      <w:r>
        <w:rPr>
          <w:lang w:val="ru-RU"/>
        </w:rPr>
        <w:t xml:space="preserve">3) диск Козлова О.И.(диск находится при уголовном деле)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ru-RU"/>
        </w:rPr>
        <w:t>Изучеева А.И.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  <w:font w:name="Times New Roman">
    <w:charset w:characterSet="windows-1251"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start"/>
      <w:pPr>
        <w:tabs>
          <w:tab w:pos="720" w:val="num"/>
        </w:tabs>
        <w:ind w:hanging="360" w:start="720"/>
      </w:pPr>
      <w:rPr/>
    </w:lvl>
    <w:lvl w:ilvl="1">
      <w:start w:val="1"/>
      <w:numFmt w:val="decimal"/>
      <w:lvlText w:val="%2."/>
      <w:lvlJc w:val="start"/>
      <w:pPr>
        <w:tabs>
          <w:tab w:pos="1080" w:val="num"/>
        </w:tabs>
        <w:ind w:hanging="360" w:start="1080"/>
      </w:pPr>
    </w:lvl>
    <w:lvl w:ilvl="2">
      <w:start w:val="1"/>
      <w:numFmt w:val="decimal"/>
      <w:lvlText w:val="%3."/>
      <w:lvlJc w:val="start"/>
      <w:pPr>
        <w:tabs>
          <w:tab w:pos="1440" w:val="num"/>
        </w:tabs>
        <w:ind w:hanging="360" w:start="1440"/>
      </w:pPr>
    </w:lvl>
    <w:lvl w:ilvl="3">
      <w:start w:val="1"/>
      <w:numFmt w:val="decimal"/>
      <w:lvlText w:val="%4."/>
      <w:lvlJc w:val="start"/>
      <w:pPr>
        <w:tabs>
          <w:tab w:pos="1800" w:val="num"/>
        </w:tabs>
        <w:ind w:hanging="360" w:start="1800"/>
      </w:pPr>
    </w:lvl>
    <w:lvl w:ilvl="4">
      <w:start w:val="1"/>
      <w:numFmt w:val="decimal"/>
      <w:lvlText w:val="%5."/>
      <w:lvlJc w:val="start"/>
      <w:pPr>
        <w:tabs>
          <w:tab w:pos="2160" w:val="num"/>
        </w:tabs>
        <w:ind w:hanging="360" w:start="2160"/>
      </w:pPr>
    </w:lvl>
    <w:lvl w:ilvl="5">
      <w:start w:val="1"/>
      <w:numFmt w:val="decimal"/>
      <w:lvlText w:val="%6."/>
      <w:lvlJc w:val="start"/>
      <w:pPr>
        <w:tabs>
          <w:tab w:pos="2520" w:val="num"/>
        </w:tabs>
        <w:ind w:hanging="360" w:start="2520"/>
      </w:pPr>
    </w:lvl>
    <w:lvl w:ilvl="6">
      <w:start w:val="1"/>
      <w:numFmt w:val="decimal"/>
      <w:lvlText w:val="%7."/>
      <w:lvlJc w:val="start"/>
      <w:pPr>
        <w:tabs>
          <w:tab w:pos="2880" w:val="num"/>
        </w:tabs>
        <w:ind w:hanging="360" w:start="2880"/>
      </w:pPr>
    </w:lvl>
    <w:lvl w:ilvl="7">
      <w:start w:val="1"/>
      <w:numFmt w:val="decimal"/>
      <w:lvlText w:val="%8."/>
      <w:lvlJc w:val="start"/>
      <w:pPr>
        <w:tabs>
          <w:tab w:pos="3240" w:val="num"/>
        </w:tabs>
        <w:ind w:hanging="360" w:start="3240"/>
      </w:pPr>
    </w:lvl>
    <w:lvl w:ilvl="8">
      <w:start w:val="1"/>
      <w:numFmt w:val="decimal"/>
      <w:lvlText w:val="%9."/>
      <w:lvlJc w:val="start"/>
      <w:pPr>
        <w:tabs>
          <w:tab w:pos="3600" w:val="num"/>
        </w:tabs>
        <w:ind w:hanging="360" w:start="360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pos="432" w:val="num"/>
        </w:tabs>
        <w:ind w:hanging="432" w:start="432"/>
      </w:pPr>
    </w:lvl>
    <w:lvl w:ilvl="1">
      <w:start w:val="1"/>
      <w:numFmt w:val="none"/>
      <w:suff w:val="nothing"/>
      <w:lvlText w:val=""/>
      <w:lvlJc w:val="start"/>
      <w:pPr>
        <w:tabs>
          <w:tab w:pos="576" w:val="num"/>
        </w:tabs>
        <w:ind w:hanging="576" w:start="576"/>
      </w:pPr>
    </w:lvl>
    <w:lvl w:ilvl="2">
      <w:start w:val="1"/>
      <w:numFmt w:val="none"/>
      <w:suff w:val="nothing"/>
      <w:lvlText w:val=""/>
      <w:lvlJc w:val="start"/>
      <w:pPr>
        <w:tabs>
          <w:tab w:pos="720" w:val="num"/>
        </w:tabs>
        <w:ind w:hanging="720" w:start="720"/>
      </w:pPr>
    </w:lvl>
    <w:lvl w:ilvl="3">
      <w:start w:val="1"/>
      <w:numFmt w:val="none"/>
      <w:suff w:val="nothing"/>
      <w:lvlText w:val=""/>
      <w:lvlJc w:val="start"/>
      <w:pPr>
        <w:tabs>
          <w:tab w:pos="864" w:val="num"/>
        </w:tabs>
        <w:ind w:hanging="864" w:start="864"/>
      </w:pPr>
    </w:lvl>
    <w:lvl w:ilvl="4">
      <w:start w:val="1"/>
      <w:numFmt w:val="none"/>
      <w:suff w:val="nothing"/>
      <w:lvlText w:val=""/>
      <w:lvlJc w:val="start"/>
      <w:pPr>
        <w:tabs>
          <w:tab w:pos="1008" w:val="num"/>
        </w:tabs>
        <w:ind w:hanging="1008" w:start="1008"/>
      </w:pPr>
    </w:lvl>
    <w:lvl w:ilvl="5">
      <w:start w:val="1"/>
      <w:numFmt w:val="none"/>
      <w:suff w:val="nothing"/>
      <w:lvlText w:val=""/>
      <w:lvlJc w:val="start"/>
      <w:pPr>
        <w:tabs>
          <w:tab w:pos="1152" w:val="num"/>
        </w:tabs>
        <w:ind w:hanging="1152" w:start="1152"/>
      </w:pPr>
    </w:lvl>
    <w:lvl w:ilvl="6">
      <w:start w:val="1"/>
      <w:numFmt w:val="none"/>
      <w:suff w:val="nothing"/>
      <w:lvlText w:val=""/>
      <w:lvlJc w:val="start"/>
      <w:pPr>
        <w:tabs>
          <w:tab w:pos="1296" w:val="num"/>
        </w:tabs>
        <w:ind w:hanging="1296" w:start="1296"/>
      </w:pPr>
    </w:lvl>
    <w:lvl w:ilvl="7">
      <w:start w:val="1"/>
      <w:numFmt w:val="none"/>
      <w:suff w:val="nothing"/>
      <w:lvlText w:val=""/>
      <w:lvlJc w:val="start"/>
      <w:pPr>
        <w:tabs>
          <w:tab w:pos="1440" w:val="num"/>
        </w:tabs>
        <w:ind w:hanging="1440" w:start="1440"/>
      </w:pPr>
    </w:lvl>
    <w:lvl w:ilvl="8">
      <w:start w:val="1"/>
      <w:numFmt w:val="none"/>
      <w:suff w:val="nothing"/>
      <w:lvlText w:val=""/>
      <w:lvlJc w:val="start"/>
      <w:pPr>
        <w:tabs>
          <w:tab w:pos="1584" w:val="num"/>
        </w:tabs>
        <w:ind w:hanging="1584" w:star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15" w:type="character">
    <w:name w:val="Символ нумерации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LibreOffice_project/165a79a-7059095-e13bb37-fef39a4-9503d18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2014-09-19T05:04:45.07Z</dcterms:created>
  <cp:revision>0</cp:revision>
</cp:coreProperties>
</file>